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B8541">
      <w:pPr>
        <w:spacing w:line="560" w:lineRule="exact"/>
        <w:ind w:firstLine="0" w:firstLineChars="0"/>
        <w:rPr>
          <w:rFonts w:hint="eastAsia"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黑体" w:hAnsi="黑体" w:eastAsia="黑体" w:cs="黑体"/>
          <w:sz w:val="32"/>
          <w:szCs w:val="32"/>
          <w:lang w:val="en-US" w:eastAsia="zh-CN"/>
        </w:rPr>
        <w:t>1</w:t>
      </w:r>
    </w:p>
    <w:p w14:paraId="7B747C14">
      <w:pPr>
        <w:spacing w:line="560" w:lineRule="exact"/>
        <w:ind w:firstLine="880" w:firstLineChars="200"/>
        <w:jc w:val="both"/>
        <w:rPr>
          <w:rFonts w:hint="default" w:ascii="Times New Roman" w:hAnsi="Times New Roman" w:eastAsia="方正小标宋简体" w:cs="Times New Roman"/>
          <w:sz w:val="44"/>
          <w:szCs w:val="44"/>
        </w:rPr>
      </w:pPr>
    </w:p>
    <w:p w14:paraId="0EE7F8D5">
      <w:pPr>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医疗器械生产质量管理规范无菌</w:t>
      </w:r>
    </w:p>
    <w:p w14:paraId="4FA4E536">
      <w:pPr>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医疗器械检查指导原则</w:t>
      </w:r>
    </w:p>
    <w:p w14:paraId="2E545ACE">
      <w:pPr>
        <w:spacing w:line="560" w:lineRule="exact"/>
        <w:ind w:firstLine="0" w:firstLineChars="0"/>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（征求意见稿）</w:t>
      </w:r>
    </w:p>
    <w:p w14:paraId="16E778A0">
      <w:pPr>
        <w:widowControl/>
        <w:spacing w:after="0" w:line="560" w:lineRule="exact"/>
        <w:ind w:firstLine="640" w:firstLineChars="200"/>
        <w:jc w:val="both"/>
        <w:rPr>
          <w:rFonts w:ascii="Times New Roman" w:hAnsi="Times New Roman" w:eastAsia="黑体" w:cs="Times New Roman"/>
          <w:sz w:val="32"/>
          <w:szCs w:val="32"/>
        </w:rPr>
      </w:pPr>
    </w:p>
    <w:p w14:paraId="19023C10">
      <w:pPr>
        <w:widowControl/>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为加强医疗器械生产监督管理，指导药品监督管理部门对</w:t>
      </w:r>
      <w:r>
        <w:rPr>
          <w:rFonts w:hint="eastAsia" w:ascii="Times New Roman" w:hAnsi="Times New Roman" w:eastAsia="仿宋_GB2312" w:cs="Times New Roman"/>
          <w:sz w:val="32"/>
          <w:szCs w:val="32"/>
        </w:rPr>
        <w:t>无菌</w:t>
      </w:r>
      <w:r>
        <w:rPr>
          <w:rFonts w:ascii="Times New Roman" w:hAnsi="Times New Roman" w:eastAsia="仿宋_GB2312" w:cs="Times New Roman"/>
          <w:sz w:val="32"/>
          <w:szCs w:val="32"/>
        </w:rPr>
        <w:t>医疗器械注册人、受托生产企业（以下简称企业）开展生产检查工作，根据《医疗器械生产质量管理规范》（以下简称《规范》）</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《医疗器械生产质量管理规范附录无菌医疗器械》（以下简称《无菌附录》）</w:t>
      </w:r>
      <w:r>
        <w:rPr>
          <w:rFonts w:ascii="Times New Roman" w:hAnsi="Times New Roman" w:eastAsia="仿宋_GB2312" w:cs="Times New Roman"/>
          <w:sz w:val="32"/>
          <w:szCs w:val="32"/>
        </w:rPr>
        <w:t>，制定本指导原则。</w:t>
      </w:r>
    </w:p>
    <w:p w14:paraId="3BE9267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本指导原则基于《规范》《无菌附录》</w:t>
      </w:r>
      <w:r>
        <w:rPr>
          <w:rFonts w:hint="default" w:ascii="Times New Roman" w:hAnsi="Times New Roman" w:eastAsia="仿宋_GB2312" w:cs="Times New Roman"/>
          <w:sz w:val="32"/>
          <w:szCs w:val="32"/>
        </w:rPr>
        <w:t>各条款在质量管理体系中的重要性及其不符合带来的质量安全风险程度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将《</w:t>
      </w:r>
      <w:r>
        <w:rPr>
          <w:rFonts w:hint="eastAsia" w:ascii="Times New Roman" w:hAnsi="Times New Roman" w:eastAsia="仿宋_GB2312" w:cs="Times New Roman"/>
          <w:sz w:val="32"/>
          <w:szCs w:val="32"/>
        </w:rPr>
        <w:t>无菌</w:t>
      </w:r>
      <w:r>
        <w:rPr>
          <w:rFonts w:ascii="Times New Roman" w:hAnsi="Times New Roman" w:eastAsia="仿宋_GB2312" w:cs="Times New Roman"/>
          <w:sz w:val="32"/>
          <w:szCs w:val="32"/>
        </w:rPr>
        <w:t>附录》内容与《规范》融合衔接，转化为</w:t>
      </w:r>
      <w:r>
        <w:rPr>
          <w:rFonts w:hint="eastAsia" w:ascii="Times New Roman" w:hAnsi="Times New Roman" w:eastAsia="仿宋_GB2312" w:cs="Times New Roman"/>
          <w:sz w:val="32"/>
          <w:szCs w:val="32"/>
        </w:rPr>
        <w:t>无菌</w:t>
      </w:r>
      <w:r>
        <w:rPr>
          <w:rFonts w:ascii="Times New Roman" w:hAnsi="Times New Roman" w:eastAsia="仿宋_GB2312" w:cs="Times New Roman"/>
          <w:sz w:val="32"/>
          <w:szCs w:val="32"/>
        </w:rPr>
        <w:t>医疗器械检查项目，并</w:t>
      </w:r>
      <w:r>
        <w:rPr>
          <w:rFonts w:hint="default" w:ascii="Times New Roman" w:hAnsi="Times New Roman" w:eastAsia="仿宋_GB2312" w:cs="Times New Roman"/>
          <w:sz w:val="32"/>
          <w:szCs w:val="32"/>
        </w:rPr>
        <w:t>划分为关键项目（</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）、主要项目（**）和一般项目（*）三个等级。无菌</w:t>
      </w:r>
      <w:r>
        <w:rPr>
          <w:rFonts w:hint="eastAsia" w:ascii="Times New Roman" w:hAnsi="Times New Roman" w:eastAsia="仿宋_GB2312" w:cs="Times New Roman"/>
          <w:sz w:val="32"/>
          <w:szCs w:val="32"/>
          <w:lang w:eastAsia="zh-CN"/>
        </w:rPr>
        <w:t>医疗器械</w:t>
      </w:r>
      <w:r>
        <w:rPr>
          <w:rFonts w:hint="default" w:ascii="Times New Roman" w:hAnsi="Times New Roman" w:eastAsia="仿宋_GB2312" w:cs="Times New Roman"/>
          <w:sz w:val="32"/>
          <w:szCs w:val="32"/>
        </w:rPr>
        <w:t>检查项目共216项，其中</w:t>
      </w:r>
      <w:r>
        <w:rPr>
          <w:rFonts w:ascii="Times New Roman" w:hAnsi="Times New Roman" w:eastAsia="仿宋_GB2312" w:cs="Times New Roman"/>
          <w:sz w:val="32"/>
          <w:szCs w:val="32"/>
        </w:rPr>
        <w:t>关键</w:t>
      </w:r>
      <w:r>
        <w:rPr>
          <w:rFonts w:hint="default" w:ascii="Times New Roman" w:hAnsi="Times New Roman" w:eastAsia="仿宋_GB2312" w:cs="Times New Roman"/>
          <w:sz w:val="32"/>
          <w:szCs w:val="32"/>
        </w:rPr>
        <w:t>项目</w:t>
      </w:r>
      <w:r>
        <w:rPr>
          <w:rFonts w:ascii="Times New Roman" w:hAnsi="Times New Roman" w:eastAsia="仿宋_GB2312" w:cs="Times New Roman"/>
          <w:sz w:val="32"/>
          <w:szCs w:val="32"/>
        </w:rPr>
        <w:t>4</w:t>
      </w:r>
      <w:r>
        <w:rPr>
          <w:rFonts w:hint="default" w:ascii="Times New Roman" w:hAnsi="Times New Roman" w:eastAsia="仿宋_GB2312" w:cs="Times New Roman"/>
          <w:sz w:val="32"/>
          <w:szCs w:val="32"/>
        </w:rPr>
        <w:t>1</w:t>
      </w:r>
      <w:r>
        <w:rPr>
          <w:rFonts w:ascii="Times New Roman" w:hAnsi="Times New Roman" w:eastAsia="仿宋_GB2312" w:cs="Times New Roman"/>
          <w:sz w:val="32"/>
          <w:szCs w:val="32"/>
        </w:rPr>
        <w:t>项，主要</w:t>
      </w:r>
      <w:r>
        <w:rPr>
          <w:rFonts w:hint="default" w:ascii="Times New Roman" w:hAnsi="Times New Roman" w:eastAsia="仿宋_GB2312" w:cs="Times New Roman"/>
          <w:sz w:val="32"/>
          <w:szCs w:val="32"/>
        </w:rPr>
        <w:t>项目</w:t>
      </w:r>
      <w:r>
        <w:rPr>
          <w:rFonts w:ascii="Times New Roman" w:hAnsi="Times New Roman" w:eastAsia="仿宋_GB2312" w:cs="Times New Roman"/>
          <w:sz w:val="32"/>
          <w:szCs w:val="32"/>
        </w:rPr>
        <w:t>9</w:t>
      </w:r>
      <w:r>
        <w:rPr>
          <w:rFonts w:hint="default" w:ascii="Times New Roman" w:hAnsi="Times New Roman" w:eastAsia="仿宋_GB2312" w:cs="Times New Roman"/>
          <w:sz w:val="32"/>
          <w:szCs w:val="32"/>
        </w:rPr>
        <w:t>5</w:t>
      </w:r>
      <w:r>
        <w:rPr>
          <w:rFonts w:ascii="Times New Roman" w:hAnsi="Times New Roman" w:eastAsia="仿宋_GB2312" w:cs="Times New Roman"/>
          <w:sz w:val="32"/>
          <w:szCs w:val="32"/>
        </w:rPr>
        <w:t>项，一般</w:t>
      </w:r>
      <w:r>
        <w:rPr>
          <w:rFonts w:hint="default" w:ascii="Times New Roman" w:hAnsi="Times New Roman" w:eastAsia="仿宋_GB2312" w:cs="Times New Roman"/>
          <w:sz w:val="32"/>
          <w:szCs w:val="32"/>
        </w:rPr>
        <w:t>项目80</w:t>
      </w:r>
      <w:r>
        <w:rPr>
          <w:rFonts w:ascii="Times New Roman" w:hAnsi="Times New Roman" w:eastAsia="仿宋_GB2312" w:cs="Times New Roman"/>
          <w:sz w:val="32"/>
          <w:szCs w:val="32"/>
        </w:rPr>
        <w:t>项</w:t>
      </w:r>
      <w:r>
        <w:rPr>
          <w:rFonts w:hint="default" w:ascii="Times New Roman" w:hAnsi="Times New Roman" w:eastAsia="仿宋_GB2312" w:cs="Times New Roman"/>
          <w:sz w:val="32"/>
          <w:szCs w:val="32"/>
        </w:rPr>
        <w:t>。</w:t>
      </w:r>
    </w:p>
    <w:p w14:paraId="66EF303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检查类型及结果判定遵循《医疗器械生产质量管理规范检查指导原则》。</w:t>
      </w:r>
    </w:p>
    <w:p w14:paraId="667753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5CD9AC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_GB2312" w:cs="Times New Roman"/>
          <w:sz w:val="32"/>
          <w:szCs w:val="32"/>
        </w:rPr>
      </w:pPr>
      <w:r>
        <w:rPr>
          <w:rFonts w:hint="default" w:ascii="Times New Roman" w:hAnsi="Times New Roman" w:eastAsia="仿宋_GB2312" w:cs="Times New Roman"/>
          <w:sz w:val="32"/>
          <w:szCs w:val="32"/>
        </w:rPr>
        <w:t>附：</w:t>
      </w:r>
      <w:r>
        <w:rPr>
          <w:rFonts w:ascii="Times New Roman" w:hAnsi="Times New Roman" w:eastAsia="仿宋_GB2312" w:cs="Times New Roman"/>
          <w:sz w:val="32"/>
          <w:szCs w:val="32"/>
        </w:rPr>
        <w:t>无</w:t>
      </w:r>
      <w:r>
        <w:rPr>
          <w:rFonts w:hint="default" w:ascii="Times New Roman" w:hAnsi="Times New Roman" w:eastAsia="仿宋_GB2312" w:cs="Times New Roman"/>
          <w:sz w:val="32"/>
          <w:szCs w:val="32"/>
        </w:rPr>
        <w:t>菌</w:t>
      </w:r>
      <w:r>
        <w:rPr>
          <w:rFonts w:hint="eastAsia" w:ascii="Times New Roman" w:hAnsi="Times New Roman" w:eastAsia="仿宋_GB2312" w:cs="Times New Roman"/>
          <w:sz w:val="32"/>
          <w:szCs w:val="32"/>
          <w:lang w:eastAsia="zh-CN"/>
        </w:rPr>
        <w:t>医疗器械</w:t>
      </w:r>
      <w:r>
        <w:rPr>
          <w:rFonts w:ascii="Times New Roman" w:hAnsi="Times New Roman" w:eastAsia="仿宋_GB2312" w:cs="Times New Roman"/>
          <w:sz w:val="32"/>
          <w:szCs w:val="32"/>
        </w:rPr>
        <w:t>检查项目</w:t>
      </w:r>
    </w:p>
    <w:p w14:paraId="6A5896E7">
      <w:pPr>
        <w:widowControl/>
        <w:jc w:val="left"/>
        <w:rPr>
          <w:rFonts w:ascii="Times New Roman" w:hAnsi="Times New Roman" w:eastAsia="黑体" w:cs="Times New Roman"/>
          <w:sz w:val="32"/>
          <w:szCs w:val="32"/>
        </w:rPr>
      </w:pPr>
    </w:p>
    <w:p w14:paraId="5DFA21EA">
      <w:pPr>
        <w:widowControl/>
        <w:jc w:val="left"/>
        <w:rPr>
          <w:rFonts w:hint="default" w:ascii="Times New Roman" w:hAnsi="Times New Roman" w:eastAsia="黑体" w:cs="Times New Roman"/>
          <w:sz w:val="32"/>
          <w:szCs w:val="32"/>
        </w:rPr>
      </w:pPr>
      <w:r>
        <w:rPr>
          <w:rFonts w:ascii="Times New Roman" w:hAnsi="Times New Roman" w:eastAsia="黑体" w:cs="Times New Roman"/>
          <w:sz w:val="32"/>
          <w:szCs w:val="32"/>
        </w:rPr>
        <w:br w:type="page"/>
      </w:r>
      <w:r>
        <w:rPr>
          <w:rFonts w:hint="default" w:ascii="Times New Roman" w:hAnsi="Times New Roman" w:eastAsia="黑体" w:cs="Times New Roman"/>
          <w:sz w:val="32"/>
          <w:szCs w:val="32"/>
        </w:rPr>
        <w:t>附</w:t>
      </w:r>
    </w:p>
    <w:p w14:paraId="708E1CBB">
      <w:pPr>
        <w:pStyle w:val="2"/>
        <w:spacing w:after="360" w:line="580" w:lineRule="exact"/>
        <w:jc w:val="center"/>
        <w:rPr>
          <w:rFonts w:ascii="Times New Roman" w:hAnsi="Times New Roman" w:eastAsia="微软雅黑" w:cs="Times New Roman"/>
          <w:bCs/>
          <w:kern w:val="0"/>
          <w:sz w:val="44"/>
          <w:szCs w:val="44"/>
          <w:lang w:bidi="ar"/>
        </w:rPr>
      </w:pPr>
      <w:r>
        <w:rPr>
          <w:rFonts w:ascii="Times New Roman" w:hAnsi="Times New Roman" w:eastAsia="方正小标宋简体" w:cs="Times New Roman"/>
          <w:bCs/>
          <w:kern w:val="0"/>
          <w:sz w:val="44"/>
          <w:szCs w:val="44"/>
          <w:lang w:bidi="ar"/>
        </w:rPr>
        <w:t>无</w:t>
      </w:r>
      <w:r>
        <w:rPr>
          <w:rFonts w:hint="default" w:ascii="Times New Roman" w:hAnsi="Times New Roman" w:eastAsia="方正小标宋简体" w:cs="Times New Roman"/>
          <w:bCs/>
          <w:kern w:val="0"/>
          <w:sz w:val="44"/>
          <w:szCs w:val="44"/>
          <w:lang w:bidi="ar"/>
        </w:rPr>
        <w:t>菌</w:t>
      </w:r>
      <w:r>
        <w:rPr>
          <w:rFonts w:hint="eastAsia" w:ascii="Times New Roman" w:hAnsi="Times New Roman" w:eastAsia="方正小标宋简体" w:cs="Times New Roman"/>
          <w:bCs/>
          <w:kern w:val="0"/>
          <w:sz w:val="44"/>
          <w:szCs w:val="44"/>
          <w:lang w:eastAsia="zh-CN" w:bidi="ar"/>
        </w:rPr>
        <w:t>医疗器械</w:t>
      </w:r>
      <w:r>
        <w:rPr>
          <w:rFonts w:ascii="Times New Roman" w:hAnsi="Times New Roman" w:eastAsia="方正小标宋简体" w:cs="Times New Roman"/>
          <w:bCs/>
          <w:kern w:val="0"/>
          <w:sz w:val="44"/>
          <w:szCs w:val="44"/>
          <w:lang w:bidi="ar"/>
        </w:rPr>
        <w:t>检查项目</w:t>
      </w:r>
    </w:p>
    <w:tbl>
      <w:tblPr>
        <w:tblStyle w:val="3"/>
        <w:tblW w:w="8855" w:type="dxa"/>
        <w:jc w:val="center"/>
        <w:tblLayout w:type="autofit"/>
        <w:tblCellMar>
          <w:top w:w="0" w:type="dxa"/>
          <w:left w:w="108" w:type="dxa"/>
          <w:bottom w:w="0" w:type="dxa"/>
          <w:right w:w="108" w:type="dxa"/>
        </w:tblCellMar>
      </w:tblPr>
      <w:tblGrid>
        <w:gridCol w:w="921"/>
        <w:gridCol w:w="589"/>
        <w:gridCol w:w="876"/>
        <w:gridCol w:w="4422"/>
        <w:gridCol w:w="684"/>
        <w:gridCol w:w="1363"/>
      </w:tblGrid>
      <w:tr w14:paraId="40A08767">
        <w:tblPrEx>
          <w:tblCellMar>
            <w:top w:w="0" w:type="dxa"/>
            <w:left w:w="108" w:type="dxa"/>
            <w:bottom w:w="0" w:type="dxa"/>
            <w:right w:w="108" w:type="dxa"/>
          </w:tblCellMar>
        </w:tblPrEx>
        <w:trPr>
          <w:cantSplit/>
          <w:tblHeader/>
          <w:jc w:val="center"/>
        </w:trPr>
        <w:tc>
          <w:tcPr>
            <w:tcW w:w="921" w:type="dxa"/>
            <w:tcBorders>
              <w:top w:val="single" w:color="000000" w:sz="4" w:space="0"/>
              <w:left w:val="single" w:color="000000" w:sz="4" w:space="0"/>
              <w:bottom w:val="single" w:color="000000" w:sz="4" w:space="0"/>
              <w:right w:val="single" w:color="000000" w:sz="4" w:space="0"/>
            </w:tcBorders>
            <w:noWrap w:val="0"/>
            <w:vAlign w:val="center"/>
          </w:tcPr>
          <w:p w14:paraId="4EC3A6A1">
            <w:pPr>
              <w:widowControl/>
              <w:spacing w:after="0" w:line="240" w:lineRule="auto"/>
              <w:jc w:val="center"/>
              <w:textAlignment w:val="center"/>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2"/>
                <w:szCs w:val="22"/>
                <w:lang w:bidi="ar"/>
              </w:rPr>
              <w:t>章节</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D138B8D">
            <w:pPr>
              <w:widowControl/>
              <w:spacing w:after="0" w:line="240" w:lineRule="auto"/>
              <w:jc w:val="center"/>
              <w:textAlignment w:val="center"/>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2"/>
                <w:szCs w:val="22"/>
                <w:bdr w:val="single" w:color="000000" w:sz="4" w:space="0"/>
                <w:lang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8255</wp:posOffset>
                  </wp:positionV>
                  <wp:extent cx="8255" cy="8255"/>
                  <wp:effectExtent l="0" t="0" r="0" b="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4"/>
                          <a:stretch>
                            <a:fillRect/>
                          </a:stretch>
                        </pic:blipFill>
                        <pic:spPr>
                          <a:xfrm>
                            <a:off x="0" y="0"/>
                            <a:ext cx="8255" cy="8255"/>
                          </a:xfrm>
                          <a:prstGeom prst="rect">
                            <a:avLst/>
                          </a:prstGeom>
                          <a:noFill/>
                          <a:ln>
                            <a:noFill/>
                          </a:ln>
                        </pic:spPr>
                      </pic:pic>
                    </a:graphicData>
                  </a:graphic>
                </wp:anchor>
              </w:drawing>
            </w:r>
            <w:r>
              <w:rPr>
                <w:rFonts w:hint="default" w:ascii="Times New Roman" w:hAnsi="Times New Roman" w:eastAsia="黑体" w:cs="Times New Roman"/>
                <w:b w:val="0"/>
                <w:bCs w:val="0"/>
                <w:kern w:val="0"/>
                <w:sz w:val="22"/>
                <w:szCs w:val="22"/>
                <w:bdr w:val="single" w:color="000000" w:sz="4" w:space="0"/>
                <w:lang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8255</wp:posOffset>
                  </wp:positionV>
                  <wp:extent cx="8255" cy="8255"/>
                  <wp:effectExtent l="0" t="0" r="0" b="0"/>
                  <wp:wrapNone/>
                  <wp:docPr id="1" name="图片_1_SpCnt_1"/>
                  <wp:cNvGraphicFramePr/>
                  <a:graphic xmlns:a="http://schemas.openxmlformats.org/drawingml/2006/main">
                    <a:graphicData uri="http://schemas.openxmlformats.org/drawingml/2006/picture">
                      <pic:pic xmlns:pic="http://schemas.openxmlformats.org/drawingml/2006/picture">
                        <pic:nvPicPr>
                          <pic:cNvPr id="1" name="图片_1_SpCnt_1"/>
                          <pic:cNvPicPr/>
                        </pic:nvPicPr>
                        <pic:blipFill>
                          <a:blip r:embed="rId4"/>
                          <a:stretch>
                            <a:fillRect/>
                          </a:stretch>
                        </pic:blipFill>
                        <pic:spPr>
                          <a:xfrm>
                            <a:off x="0" y="0"/>
                            <a:ext cx="8255" cy="8255"/>
                          </a:xfrm>
                          <a:prstGeom prst="rect">
                            <a:avLst/>
                          </a:prstGeom>
                          <a:noFill/>
                          <a:ln>
                            <a:noFill/>
                          </a:ln>
                        </pic:spPr>
                      </pic:pic>
                    </a:graphicData>
                  </a:graphic>
                </wp:anchor>
              </w:drawing>
            </w:r>
            <w:r>
              <w:rPr>
                <w:rFonts w:hint="default" w:ascii="Times New Roman" w:hAnsi="Times New Roman" w:eastAsia="黑体" w:cs="Times New Roman"/>
                <w:b w:val="0"/>
                <w:bCs w:val="0"/>
                <w:kern w:val="0"/>
                <w:sz w:val="22"/>
                <w:szCs w:val="22"/>
                <w:lang w:bidi="ar"/>
              </w:rPr>
              <w:t>序号</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7805829">
            <w:pPr>
              <w:widowControl/>
              <w:spacing w:after="0" w:line="240" w:lineRule="auto"/>
              <w:jc w:val="center"/>
              <w:textAlignment w:val="center"/>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2"/>
                <w:szCs w:val="22"/>
                <w:lang w:bidi="ar"/>
              </w:rPr>
              <w:t>条款</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142F341">
            <w:pPr>
              <w:widowControl/>
              <w:spacing w:after="0" w:line="240" w:lineRule="auto"/>
              <w:jc w:val="center"/>
              <w:textAlignment w:val="center"/>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2"/>
                <w:szCs w:val="22"/>
                <w:lang w:bidi="ar"/>
              </w:rPr>
              <w:t>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FED1A58">
            <w:pPr>
              <w:widowControl/>
              <w:spacing w:after="0" w:line="240" w:lineRule="auto"/>
              <w:jc w:val="center"/>
              <w:textAlignment w:val="center"/>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2"/>
                <w:szCs w:val="22"/>
                <w:lang w:bidi="ar"/>
              </w:rPr>
              <w:t>风险等级</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C84E7BA">
            <w:pPr>
              <w:widowControl/>
              <w:spacing w:after="0" w:line="240" w:lineRule="auto"/>
              <w:jc w:val="center"/>
              <w:textAlignment w:val="center"/>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2"/>
                <w:szCs w:val="22"/>
                <w:lang w:bidi="ar"/>
              </w:rPr>
              <w:t>规范条款/附录条款</w:t>
            </w:r>
          </w:p>
        </w:tc>
      </w:tr>
      <w:tr w14:paraId="47556988">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23A98D">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第一章</w:t>
            </w:r>
          </w:p>
          <w:p w14:paraId="4AAEE81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总则</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FEF906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9A9600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88056C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企业应当按照本规范的要求，结合产品特点，建立健全与所生产医疗器械相适应的质量管理体系，并保证其有效运行。质量管理体系涵盖委托研发、委托生产、外协加工以及委托检验等。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BCCA8D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809325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《规范》第三条</w:t>
            </w:r>
          </w:p>
        </w:tc>
      </w:tr>
      <w:tr w14:paraId="23CD259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C2F3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727046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B8B040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AA8537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企业应当将风险管理理念贯穿于质量管理体系运行全过程，所采取的控制措施应当与产品存在的风险相适应。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992803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F28E64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《规范》第四条</w:t>
            </w:r>
          </w:p>
        </w:tc>
      </w:tr>
      <w:tr w14:paraId="7023DE5F">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047F4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第二章质量保证</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B6E3D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78C11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275043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4C5F4C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BF7683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《规范》第七条</w:t>
            </w:r>
          </w:p>
        </w:tc>
      </w:tr>
      <w:tr w14:paraId="10208A1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FFB1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B732FC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B73590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19CF21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企业应当为实现质量目标配备足够并符合要求的人员、厂房设施和设备等资源。</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99EF26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1E75FF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《规范》第八条</w:t>
            </w:r>
          </w:p>
        </w:tc>
      </w:tr>
      <w:tr w14:paraId="2F87F58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45A7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3856DB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BED35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0ECD55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企业各级人员应当共同参与实现质量目标的各项活动并承担相应责任。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E889FA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A7EE0B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《规范》第八条</w:t>
            </w:r>
          </w:p>
        </w:tc>
      </w:tr>
      <w:tr w14:paraId="42512AF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EBA7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58966E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B176E0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535218C">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企业应当建立质量保证系统并有完整的质量管理体系文件，保证质量管理体系有效运行。</w:t>
            </w:r>
          </w:p>
          <w:p w14:paraId="47950E55">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质量保证系统应当确保：</w:t>
            </w:r>
          </w:p>
          <w:p w14:paraId="7DAEB843">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 医疗器械的设计开发、生产管理和质量控制活动符合本规范；</w:t>
            </w:r>
          </w:p>
          <w:p w14:paraId="462AD1F7">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 管理职责明确；</w:t>
            </w:r>
          </w:p>
          <w:p w14:paraId="73B5F118">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 采购和使用的原材料正确无误；</w:t>
            </w:r>
          </w:p>
          <w:p w14:paraId="1F95D2AA">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 中间产品得到有效控制；</w:t>
            </w:r>
          </w:p>
          <w:p w14:paraId="6871C381">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（五） 验证、确认活动符合要求；</w:t>
            </w:r>
          </w:p>
          <w:p w14:paraId="455FCA5C">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（六） 严格按照规程进行生产和检验；</w:t>
            </w:r>
          </w:p>
          <w:p w14:paraId="3B633C61">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（七） 每批（台）产品经审核批准后放行；</w:t>
            </w:r>
          </w:p>
          <w:p w14:paraId="38F9871A">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（八） 贮存、运输以及安装等环节有保证产品质量的措施；</w:t>
            </w:r>
          </w:p>
          <w:p w14:paraId="1871907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（九） 委托研发、委托生产、外协加工和委托检验等活动处于受控状态。</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E2FD87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59E721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《规范》第九条</w:t>
            </w:r>
          </w:p>
        </w:tc>
      </w:tr>
      <w:tr w14:paraId="18578316">
        <w:tblPrEx>
          <w:tblCellMar>
            <w:top w:w="0" w:type="dxa"/>
            <w:left w:w="108" w:type="dxa"/>
            <w:bottom w:w="0" w:type="dxa"/>
            <w:right w:w="108" w:type="dxa"/>
          </w:tblCellMar>
        </w:tblPrEx>
        <w:trPr>
          <w:cantSplit/>
          <w:trHeight w:val="2296"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89DF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B16812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11A18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69AF10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BBD73A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A39A17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《规范》第十条</w:t>
            </w:r>
          </w:p>
        </w:tc>
      </w:tr>
      <w:tr w14:paraId="1C68C0E4">
        <w:tblPrEx>
          <w:tblCellMar>
            <w:top w:w="0" w:type="dxa"/>
            <w:left w:w="108" w:type="dxa"/>
            <w:bottom w:w="0" w:type="dxa"/>
            <w:right w:w="108" w:type="dxa"/>
          </w:tblCellMar>
        </w:tblPrEx>
        <w:trPr>
          <w:cantSplit/>
          <w:trHeight w:val="1727"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7645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BAFBB9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C95B4F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3D30CD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企业应当通过质量数据监控、变更管理、不良事件监测、质量风险管理回顾、纠正预防措施、内部审核以及管理评审等方式，实现质量管理体系、工艺和产品质量的持续改进。</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269F71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BFEC15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《规范》第十一条</w:t>
            </w:r>
          </w:p>
        </w:tc>
      </w:tr>
      <w:tr w14:paraId="747743B8">
        <w:tblPrEx>
          <w:tblCellMar>
            <w:top w:w="0" w:type="dxa"/>
            <w:left w:w="108" w:type="dxa"/>
            <w:bottom w:w="0" w:type="dxa"/>
            <w:right w:w="108" w:type="dxa"/>
          </w:tblCellMar>
        </w:tblPrEx>
        <w:trPr>
          <w:cantSplit/>
          <w:trHeight w:val="1689"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417CD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F4270F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1EDF3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F04D94">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企业应当建立质量风险管理制度，基于法律、法规、规章、标准、科学知识和经验等，评估产品实现全过程的质量风险，验证和实施质量风险控制措施，确保产品质量风险得到有效控制。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BA8332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D06975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《规范》第十二条</w:t>
            </w:r>
          </w:p>
        </w:tc>
      </w:tr>
      <w:tr w14:paraId="235A3196">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3A29B0">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3DBCFF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712C83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C273DE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企业应当收集产品全生命周期质量风险信息，定期实施质量风险管理回顾，确保质量风险管理措施持续有效。</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0F776B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A44DE6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《规范》第十三条</w:t>
            </w:r>
          </w:p>
        </w:tc>
      </w:tr>
      <w:tr w14:paraId="5C7FF340">
        <w:tblPrEx>
          <w:tblCellMar>
            <w:top w:w="0" w:type="dxa"/>
            <w:left w:w="108" w:type="dxa"/>
            <w:bottom w:w="0" w:type="dxa"/>
            <w:right w:w="108" w:type="dxa"/>
          </w:tblCellMar>
        </w:tblPrEx>
        <w:trPr>
          <w:cantSplit/>
          <w:trHeight w:val="1020" w:hRule="atLeas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E14DFC">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第三章</w:t>
            </w:r>
          </w:p>
          <w:p w14:paraId="6A7E7C4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机构与人员</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BE5C1C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977DAB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3C9EDC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企业应当建立与医疗器械生产相适应的组织机构，明确各部门的职责和权限，明确质量管理职能。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1655A5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0298F3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《规范》第十四条</w:t>
            </w:r>
          </w:p>
        </w:tc>
      </w:tr>
      <w:tr w14:paraId="24815E99">
        <w:tblPrEx>
          <w:tblCellMar>
            <w:top w:w="0" w:type="dxa"/>
            <w:left w:w="108" w:type="dxa"/>
            <w:bottom w:w="0" w:type="dxa"/>
            <w:right w:w="108" w:type="dxa"/>
          </w:tblCellMar>
        </w:tblPrEx>
        <w:trPr>
          <w:cantSplit/>
          <w:trHeight w:val="68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F877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B7A17C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3A02AA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ADD3D2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生产管理部门和质量管理部门负责人不得互相兼任。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5A1A8C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B84759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《规范》第十四条</w:t>
            </w:r>
          </w:p>
        </w:tc>
      </w:tr>
      <w:tr w14:paraId="133AD32C">
        <w:tblPrEx>
          <w:tblCellMar>
            <w:top w:w="0" w:type="dxa"/>
            <w:left w:w="108" w:type="dxa"/>
            <w:bottom w:w="0" w:type="dxa"/>
            <w:right w:w="108" w:type="dxa"/>
          </w:tblCellMar>
        </w:tblPrEx>
        <w:trPr>
          <w:cantSplit/>
          <w:trHeight w:val="68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4AB1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B64183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86F8C4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A239D0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企业应当设立与所生产产品相适应的质量管理部门。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DDF527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459813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《规范》第十五条</w:t>
            </w:r>
          </w:p>
        </w:tc>
      </w:tr>
      <w:tr w14:paraId="1AEC4A27">
        <w:tblPrEx>
          <w:tblCellMar>
            <w:top w:w="0" w:type="dxa"/>
            <w:left w:w="108" w:type="dxa"/>
            <w:bottom w:w="0" w:type="dxa"/>
            <w:right w:w="108" w:type="dxa"/>
          </w:tblCellMar>
        </w:tblPrEx>
        <w:trPr>
          <w:cantSplit/>
          <w:trHeight w:val="68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6870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E2C0C3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050CD7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A03221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质量管理部门应当参与和产品质量相关的各项活动，负责审核与本规范有关的文件。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C712B8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59CE3A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《规范》第十五条</w:t>
            </w:r>
          </w:p>
        </w:tc>
      </w:tr>
      <w:tr w14:paraId="235BF548">
        <w:tblPrEx>
          <w:tblCellMar>
            <w:top w:w="0" w:type="dxa"/>
            <w:left w:w="108" w:type="dxa"/>
            <w:bottom w:w="0" w:type="dxa"/>
            <w:right w:w="108" w:type="dxa"/>
          </w:tblCellMar>
        </w:tblPrEx>
        <w:trPr>
          <w:cantSplit/>
          <w:trHeight w:val="68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C6ED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3A3780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9D011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841EC6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质量管理部门应当独立履行质量保证和质量控制职责，并对产品质量有否决权。</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05E68E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3A5FC9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《规范》第十五条</w:t>
            </w:r>
          </w:p>
        </w:tc>
      </w:tr>
      <w:tr w14:paraId="165984AC">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6876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7D862B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94E764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897582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企业应当配备足够数量并具有相应资质（含学历、培训和实践经验）的专业技术人员、管理人员、生产操作人员和专职检验人员。</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B87938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E17FD0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《规范》第十六条</w:t>
            </w:r>
          </w:p>
        </w:tc>
      </w:tr>
      <w:tr w14:paraId="484F33FE">
        <w:tblPrEx>
          <w:tblCellMar>
            <w:top w:w="0" w:type="dxa"/>
            <w:left w:w="108" w:type="dxa"/>
            <w:bottom w:w="0" w:type="dxa"/>
            <w:right w:w="108" w:type="dxa"/>
          </w:tblCellMar>
        </w:tblPrEx>
        <w:trPr>
          <w:cantSplit/>
          <w:trHeight w:val="737"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AB30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374070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839369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B88376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企业应当明确规定每个岗位的职责，岗位职责不得遗漏，交叉的职责应当有明确规定。</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CDBC7C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965558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《规范》第十六条</w:t>
            </w:r>
          </w:p>
        </w:tc>
      </w:tr>
      <w:tr w14:paraId="23AA8616">
        <w:tblPrEx>
          <w:tblCellMar>
            <w:top w:w="0" w:type="dxa"/>
            <w:left w:w="108" w:type="dxa"/>
            <w:bottom w:w="0" w:type="dxa"/>
            <w:right w:w="108" w:type="dxa"/>
          </w:tblCellMar>
        </w:tblPrEx>
        <w:trPr>
          <w:cantSplit/>
          <w:trHeight w:val="2608"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1E7F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15F7CC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C367FC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850380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7BFD7E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5C4C56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《规范》第十七条</w:t>
            </w:r>
          </w:p>
        </w:tc>
      </w:tr>
      <w:tr w14:paraId="236F72C9">
        <w:tblPrEx>
          <w:tblCellMar>
            <w:top w:w="0" w:type="dxa"/>
            <w:left w:w="108" w:type="dxa"/>
            <w:bottom w:w="0" w:type="dxa"/>
            <w:right w:w="108" w:type="dxa"/>
          </w:tblCellMar>
        </w:tblPrEx>
        <w:trPr>
          <w:cantSplit/>
          <w:trHeight w:val="1304"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CFE0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828DEE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33EBC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944778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关键岗位人员应当熟悉医疗器械相关法律法规，具有质量管理的实践经验，有能力对生产管理和质量管理中的实际问题作出正确的判断和处理。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89371E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8FCDD3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《规范》第十七条</w:t>
            </w:r>
          </w:p>
        </w:tc>
      </w:tr>
      <w:tr w14:paraId="1FED67B3">
        <w:tblPrEx>
          <w:tblCellMar>
            <w:top w:w="0" w:type="dxa"/>
            <w:left w:w="108" w:type="dxa"/>
            <w:bottom w:w="0" w:type="dxa"/>
            <w:right w:w="108" w:type="dxa"/>
          </w:tblCellMar>
        </w:tblPrEx>
        <w:trPr>
          <w:cantSplit/>
          <w:trHeight w:val="1417"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EA9EE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33188D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753D6E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62A094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企业法定代表人、主要负责人负责组织制定企业的质量方针和质量目标，并确保质量管理体系有效运行所需的人力资源、基础设施和工作环境等。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9E1234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FD5BE7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55AE18CC">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6912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8FF67D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5A52A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540D3B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企业法定代表人、主要负责人负责组织实施管理评审，定期对质量管理体系运行情况进行评估，并持续改进。</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5FBF98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54A1E8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76977E56">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2FFBD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569EDB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97F8A7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CF014C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企业法定代表人、主要负责人应当确保管理者代表、质量管理部门负责人和产品放行审核人独立履行职责，不受企业内部因素干扰。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597CF6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AC6C83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2F9511AF">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03CB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8E98EE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C94771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C3BEC4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企业法定代表人、主要负责人对医疗器械生产全面负责，应当按照相关法律、法规、规章、强制性标准以及经注册或者备案的产品技术要求组织生产。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890999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5F5489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《规范》第十八条</w:t>
            </w:r>
          </w:p>
        </w:tc>
      </w:tr>
      <w:tr w14:paraId="125E5268">
        <w:tblPrEx>
          <w:tblCellMar>
            <w:top w:w="0" w:type="dxa"/>
            <w:left w:w="108" w:type="dxa"/>
            <w:bottom w:w="0" w:type="dxa"/>
            <w:right w:w="108" w:type="dxa"/>
          </w:tblCellMar>
        </w:tblPrEx>
        <w:trPr>
          <w:cantSplit/>
          <w:trHeight w:val="737"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5F9B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49385E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F6292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7E12D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企业应当在高层管理人员中任命一名管理者代表。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8FEE82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F93923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《规范》第十九条</w:t>
            </w:r>
          </w:p>
        </w:tc>
      </w:tr>
      <w:tr w14:paraId="05555261">
        <w:tblPrEx>
          <w:tblCellMar>
            <w:top w:w="0" w:type="dxa"/>
            <w:left w:w="108" w:type="dxa"/>
            <w:bottom w:w="0" w:type="dxa"/>
            <w:right w:w="108" w:type="dxa"/>
          </w:tblCellMar>
        </w:tblPrEx>
        <w:trPr>
          <w:cantSplit/>
          <w:trHeight w:val="2324"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177F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184F9E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197FA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80E148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第二类、第三类医疗器械企业管理者代表应当具有医疗器械相关专业大学本科及以上学历或者中级及以上技术职称。管理者代表原则上应当具有三年及以上医疗器械质量管理或者生产、技术管理工作经验，熟悉产品生产和质量管理情况，具有良好履职能力。</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DAC836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B0DEC3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《规范》第十九条</w:t>
            </w:r>
          </w:p>
        </w:tc>
      </w:tr>
      <w:tr w14:paraId="76E049B4">
        <w:tblPrEx>
          <w:tblCellMar>
            <w:top w:w="0" w:type="dxa"/>
            <w:left w:w="108" w:type="dxa"/>
            <w:bottom w:w="0" w:type="dxa"/>
            <w:right w:w="108" w:type="dxa"/>
          </w:tblCellMar>
        </w:tblPrEx>
        <w:trPr>
          <w:cantSplit/>
          <w:trHeight w:val="4819"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91E8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F56CA3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0B954D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B02488D">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管理者代表至少应当履行下列职责:</w:t>
            </w:r>
          </w:p>
          <w:p w14:paraId="765A6A07">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 贯彻执行相关法律、法规、规章、强制性标准以及经注册或者备案的产品技术要求；</w:t>
            </w:r>
          </w:p>
          <w:p w14:paraId="3A1C89CB">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 建立健全与所生产产品相适应的质量管理体系并保持其有效运行；</w:t>
            </w:r>
          </w:p>
          <w:p w14:paraId="74860FD6">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 确保产品符合放行要求，组织开展上市后产品质量信息收集工作；</w:t>
            </w:r>
          </w:p>
          <w:p w14:paraId="3E9514D7">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 组织开展质量管理体系自查、不良事件监测以及召回等工作，定期向企业法定代表人、主要负责人报告质量管理体系的运行情况和改进需求；</w:t>
            </w:r>
          </w:p>
          <w:p w14:paraId="114FC24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（五） 配合药品监督管理部门开展监督检查，针对发现的问题，组织企业相关部门按照要求及时整改。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E841C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6D43C3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《规范》第十九条</w:t>
            </w:r>
          </w:p>
        </w:tc>
      </w:tr>
      <w:tr w14:paraId="21E6B4A5">
        <w:tblPrEx>
          <w:tblCellMar>
            <w:top w:w="0" w:type="dxa"/>
            <w:left w:w="108" w:type="dxa"/>
            <w:bottom w:w="0" w:type="dxa"/>
            <w:right w:w="108" w:type="dxa"/>
          </w:tblCellMar>
        </w:tblPrEx>
        <w:trPr>
          <w:cantSplit/>
          <w:trHeight w:val="170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735C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72310A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0536B6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66B78B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第二类、第三类医疗器械企业质量管理部门负责人应当具有医疗器械相关专业大学本科及以上学历或者中级及以上专业技术职称。质量管理部门负责人应当具备三年及以上医疗器械生产或者质量管理经验。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26A731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E35FFD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《规范》第二十条</w:t>
            </w:r>
          </w:p>
        </w:tc>
      </w:tr>
      <w:tr w14:paraId="29704381">
        <w:tblPrEx>
          <w:tblCellMar>
            <w:top w:w="0" w:type="dxa"/>
            <w:left w:w="108" w:type="dxa"/>
            <w:bottom w:w="0" w:type="dxa"/>
            <w:right w:w="108" w:type="dxa"/>
          </w:tblCellMar>
        </w:tblPrEx>
        <w:trPr>
          <w:cantSplit/>
          <w:trHeight w:val="4535"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BA2B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901A99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8A78C1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56A8E85">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质量管理部门负责人应当履行下列职责：</w:t>
            </w:r>
          </w:p>
          <w:p w14:paraId="75FBB3D8">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 确保原材料和产品的生产、检验均符合相关法律、法规、规章、强制性标准以及经注册或者备案的产品技术要求；</w:t>
            </w:r>
          </w:p>
          <w:p w14:paraId="0AA0ED14">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 组织产品放行审核；</w:t>
            </w:r>
          </w:p>
          <w:p w14:paraId="3D70C76C">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 确保生产过程中所有重大偏差和不合格情况得到调查并及时、有效处理；</w:t>
            </w:r>
          </w:p>
          <w:p w14:paraId="0F2CC719">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 组织上市后产品质量管理活动，确保所有与产品质量有关的退货、投诉、不良事件得到调查并及时、有效处理；</w:t>
            </w:r>
          </w:p>
          <w:p w14:paraId="2A5CB7E9">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（五） 确保完成产品质量年度回顾分析；</w:t>
            </w:r>
          </w:p>
          <w:p w14:paraId="3DD47AF6">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（六） 确保本部门人员经过相关培训，掌握相关法规、理论知识和实际操作技能；</w:t>
            </w:r>
          </w:p>
          <w:p w14:paraId="2A5A326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（七） 负责与产品质量有关的其他活动。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C4C76F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75BD28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《规范》第二十条</w:t>
            </w:r>
          </w:p>
        </w:tc>
      </w:tr>
      <w:tr w14:paraId="58A12CC0">
        <w:tblPrEx>
          <w:tblCellMar>
            <w:top w:w="0" w:type="dxa"/>
            <w:left w:w="108" w:type="dxa"/>
            <w:bottom w:w="0" w:type="dxa"/>
            <w:right w:w="108" w:type="dxa"/>
          </w:tblCellMar>
        </w:tblPrEx>
        <w:trPr>
          <w:cantSplit/>
          <w:trHeight w:val="1134"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B4D9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CE0C93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C68959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36DDFF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生产管理部门负责人应当具有医疗器械相关专业大学专科及以上学历，具备三年及以上医疗器械生产或者质量管理经验。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E6977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7C64A9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《规范》第二十一条</w:t>
            </w:r>
          </w:p>
        </w:tc>
      </w:tr>
      <w:tr w14:paraId="2DA02833">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A241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A5972F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A992F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F1F7507">
            <w:pPr>
              <w:widowControl/>
              <w:spacing w:after="0" w:line="30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生产管理部门负责人应当履行下列职责：</w:t>
            </w:r>
          </w:p>
          <w:p w14:paraId="24FEBF78">
            <w:pPr>
              <w:widowControl/>
              <w:spacing w:after="0" w:line="30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 确保按照生产工艺规程、作业指导书等组织生产；</w:t>
            </w:r>
          </w:p>
          <w:p w14:paraId="738FCAB9">
            <w:pPr>
              <w:widowControl/>
              <w:spacing w:after="0" w:line="30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 确保生产记录真实、准确、完整、及时和可追溯；</w:t>
            </w:r>
          </w:p>
          <w:p w14:paraId="4F950DDE">
            <w:pPr>
              <w:widowControl/>
              <w:spacing w:after="0" w:line="30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 组织实施厂房设施、设备的维护保养，确保其保持良好的运行状态；</w:t>
            </w:r>
          </w:p>
          <w:p w14:paraId="0B443923">
            <w:pPr>
              <w:widowControl/>
              <w:spacing w:after="0" w:line="30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 确保本部门的员工经过培训，具备与其岗位要求相适应的知识和实际操作技能；</w:t>
            </w:r>
          </w:p>
          <w:p w14:paraId="7004F229">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（五） 负责与产品生产有关的其他活动。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24A72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599BEE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《规范》第二十一条</w:t>
            </w:r>
          </w:p>
        </w:tc>
      </w:tr>
      <w:tr w14:paraId="0893FD0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01FE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74805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C8025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D12A782">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放行审核人应当是质量管理部门人员或者其他更高层级质量管理人员，应当经过与产品放行有关的培训，具备产品放行审核能力，能独立承担产品放行审核职责。</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928FD5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74207F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《规范》第二十二条</w:t>
            </w:r>
          </w:p>
        </w:tc>
      </w:tr>
      <w:tr w14:paraId="338AE7C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89CA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163D5B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1D1D0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2A37197">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215B4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C07724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《规范》第二十三条</w:t>
            </w:r>
          </w:p>
        </w:tc>
      </w:tr>
      <w:tr w14:paraId="76BAB94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9EAE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76C4B2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A151D5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83B5940">
            <w:pPr>
              <w:widowControl/>
              <w:spacing w:after="0" w:line="31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指定部门或者专人负责培训管理工作，建立培训制度，制定培训计划，保留培训记录，并对培训实际效果进行评估。在洁净室（区）工作的人员应当定期进行卫生和微生物学基础知识、洁净作业等方面培训。临时进入洁净室（区）的人员，应当对其进行指导和监督。</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29F510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0AAB34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《规范》第二十三条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2.1.1</w:t>
            </w:r>
          </w:p>
        </w:tc>
      </w:tr>
      <w:tr w14:paraId="3AA64818">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157D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5EEEE6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AF645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7A84479">
            <w:pPr>
              <w:widowControl/>
              <w:spacing w:after="0" w:line="31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从事影响产品质量工作的人员，企业应当根据生产产品特性对其健康进行管理，并建立健康档案。直接接触原材料和产品的人员每年至少体检一次。患有传染性和感染性疾病的人员不得从事直接接触产品的工作。</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207C7A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2877F1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《规范》第二十四条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2.1.3</w:t>
            </w:r>
          </w:p>
        </w:tc>
      </w:tr>
      <w:tr w14:paraId="29F9F724">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37833E">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第四章</w:t>
            </w:r>
          </w:p>
          <w:p w14:paraId="4023F5B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厂房与设施</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C4039A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6BF911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E046E52">
            <w:pPr>
              <w:widowControl/>
              <w:spacing w:after="0" w:line="31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厂房的选址、设计、布局、建造、改造和维护应当符合无菌医疗器械生产要求，能够最大限度地避免污染、交叉污染、混淆和差错，便于清洁、操作和维护。</w:t>
            </w:r>
          </w:p>
          <w:p w14:paraId="021BB250">
            <w:pPr>
              <w:widowControl/>
              <w:spacing w:after="0" w:line="310"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（一）厂区应当远离有污染的空气和水等污染源的区域；地面、路面周围环境及运输等不应对无菌医疗器械的生产造成污染</w:t>
            </w:r>
            <w:r>
              <w:rPr>
                <w:rFonts w:hint="eastAsia" w:ascii="Times New Roman" w:hAnsi="Times New Roman" w:eastAsia="仿宋_GB2312" w:cs="Times New Roman"/>
                <w:kern w:val="0"/>
                <w:sz w:val="22"/>
                <w:szCs w:val="22"/>
                <w:lang w:eastAsia="zh-CN" w:bidi="ar"/>
              </w:rPr>
              <w:t>；</w:t>
            </w:r>
          </w:p>
          <w:p w14:paraId="740577ED">
            <w:pPr>
              <w:widowControl/>
              <w:spacing w:after="0" w:line="31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（二）行政区、生活区和辅助区的总体布局应当合理，不得对生产区有不良影响。</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B83B1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E59C41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《规范》第二十五条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2.2.1</w:t>
            </w:r>
          </w:p>
        </w:tc>
      </w:tr>
      <w:tr w14:paraId="584E0B5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0CF86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81DABC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0D1171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BC8B771">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企业应当根据所生产产品特性、工艺流程以及相应洁净级别要求合理设计、布局和使用厂房与设施。</w:t>
            </w:r>
          </w:p>
          <w:p w14:paraId="2EEEE32E">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（一）洁净室（区）应当按照无菌医疗器械的生产工艺流程及所要求的空气洁净度级别进行合理布局，人流、物流走向应当合理</w:t>
            </w:r>
            <w:r>
              <w:rPr>
                <w:rFonts w:hint="eastAsia" w:ascii="Times New Roman" w:hAnsi="Times New Roman" w:eastAsia="仿宋_GB2312" w:cs="Times New Roman"/>
                <w:kern w:val="0"/>
                <w:sz w:val="22"/>
                <w:szCs w:val="22"/>
                <w:lang w:eastAsia="zh-CN" w:bidi="ar"/>
              </w:rPr>
              <w:t>；</w:t>
            </w:r>
          </w:p>
          <w:p w14:paraId="730421A4">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（二）同一洁净室（区）内或相邻洁净室（区）间的生产操作不得互相交叉污染</w:t>
            </w:r>
            <w:r>
              <w:rPr>
                <w:rFonts w:hint="eastAsia" w:ascii="Times New Roman" w:hAnsi="Times New Roman" w:eastAsia="仿宋_GB2312" w:cs="Times New Roman"/>
                <w:kern w:val="0"/>
                <w:sz w:val="22"/>
                <w:szCs w:val="22"/>
                <w:lang w:eastAsia="zh-CN" w:bidi="ar"/>
              </w:rPr>
              <w:t>；</w:t>
            </w:r>
          </w:p>
          <w:p w14:paraId="1C902C54">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（三）洁净室（区）的内表面应当便于清洁，不受清洁和消毒的影响。洁净室（区）内操作台应当光滑、平整、不脱落尘粒和纤维，不易积尘并便于清洁处理和消毒。</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150A63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99EDA4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《规范》第二十六条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2.2.9、2.2.13、2.2.14</w:t>
            </w:r>
          </w:p>
        </w:tc>
      </w:tr>
      <w:tr w14:paraId="4C6CDDC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8D16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5EA39C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F818E3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1E11B7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有整洁的生产环境，有适当的照明、温度、湿度和通风控制条件，符合产品质量以及相关技术标准的要求。洁净室（区）的温度和相对湿度应当与产品生产工艺要求相适应。无特殊要求时，温度应当控制在18～28℃，相对湿度控制在45%～65%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356CB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98626A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《规范》第二十六条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2.2.11</w:t>
            </w:r>
          </w:p>
        </w:tc>
      </w:tr>
      <w:tr w14:paraId="7A9F823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8FD5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95249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E64517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B974DCD">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厂房与设施的设计和安装应当能够有效防尘</w:t>
            </w:r>
            <w:r>
              <w:rPr>
                <w:rFonts w:hint="default" w:ascii="Times New Roman" w:hAnsi="Times New Roman" w:eastAsia="仿宋_GB2312" w:cs="Times New Roman"/>
                <w:b/>
                <w:bCs/>
                <w:kern w:val="0"/>
                <w:sz w:val="22"/>
                <w:szCs w:val="22"/>
                <w:lang w:bidi="ar"/>
              </w:rPr>
              <w:t>、</w:t>
            </w:r>
            <w:r>
              <w:rPr>
                <w:rFonts w:hint="default" w:ascii="Times New Roman" w:hAnsi="Times New Roman" w:eastAsia="仿宋_GB2312" w:cs="Times New Roman"/>
                <w:kern w:val="0"/>
                <w:sz w:val="22"/>
                <w:szCs w:val="22"/>
                <w:lang w:bidi="ar"/>
              </w:rPr>
              <w:t>防止昆虫或者其他动物进入，并根据产品特性采取必要的防护措施。</w:t>
            </w:r>
          </w:p>
          <w:p w14:paraId="49F1079C">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（一）洁净室（区）的门、窗及安全门应当密闭，洁净室（区）的门应当向洁净度高的方向开启</w:t>
            </w:r>
            <w:r>
              <w:rPr>
                <w:rFonts w:hint="eastAsia" w:ascii="Times New Roman" w:hAnsi="Times New Roman" w:eastAsia="仿宋_GB2312" w:cs="Times New Roman"/>
                <w:kern w:val="0"/>
                <w:sz w:val="22"/>
                <w:szCs w:val="22"/>
                <w:lang w:eastAsia="zh-CN" w:bidi="ar"/>
              </w:rPr>
              <w:t>；</w:t>
            </w:r>
          </w:p>
          <w:p w14:paraId="388FA951">
            <w:pPr>
              <w:widowControl/>
              <w:spacing w:after="0" w:line="240" w:lineRule="auto"/>
              <w:jc w:val="left"/>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（二）进入洁净室（区）的管道、进回风口布局应当合理，水、电、气输送线路与墙体接口处应当可靠密封，照明灯具不得悬吊</w:t>
            </w:r>
            <w:r>
              <w:rPr>
                <w:rFonts w:hint="eastAsia" w:ascii="Times New Roman" w:hAnsi="Times New Roman" w:eastAsia="仿宋_GB2312" w:cs="Times New Roman"/>
                <w:kern w:val="0"/>
                <w:sz w:val="22"/>
                <w:szCs w:val="22"/>
                <w:lang w:eastAsia="zh-CN" w:bidi="ar"/>
              </w:rPr>
              <w:t>；</w:t>
            </w:r>
          </w:p>
          <w:p w14:paraId="0A341AB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（三）洁净室（区）内，水池或地漏应当有适当的设计和维护，并安装易于清洁且带有空气阻断功能的装置以防倒灌，同外部排水系统的连接方式应当能够防止微生物的侵入。</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F1FEE6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25658E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《规范》第二十七条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2.2.12、2.2.14</w:t>
            </w:r>
          </w:p>
        </w:tc>
      </w:tr>
      <w:tr w14:paraId="0670A7F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64A9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B785D8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1D4FE4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33EEAD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厂房与设施的维护和维修活动不得影响产品质量。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51EBD3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806E38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《规范》第二十七条</w:t>
            </w:r>
          </w:p>
        </w:tc>
      </w:tr>
      <w:tr w14:paraId="62D162D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541D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A39E06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E09686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42BBAE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生产区应当有足够的空间，与所生产产品和规模相适应。洁净室（区）内的人数应当与洁净室（区）面积相适应。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4185F6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61F0B3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《规范》第二十八条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2.2.16</w:t>
            </w:r>
          </w:p>
        </w:tc>
      </w:tr>
      <w:tr w14:paraId="7B9B977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1DAC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AF124F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C6BE46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832D9B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同一区域内有多条生产线的，企业应当采取有效措施避免混淆和差错。</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45D7CF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FDAC4A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《规范》第二十八条</w:t>
            </w:r>
          </w:p>
        </w:tc>
      </w:tr>
      <w:tr w14:paraId="2AA6C538">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99AC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9B6AF2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B2A922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E3F04D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仓储区应当能够满足原材料、中间产品、成品等贮存条件要求，按照待检、合格、不合格、退货或者召回等情形进行合理存放，避免混淆和差错，便于检查和监控，贮存场所应当具有相应的环境监控设施。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1EACF2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9D83CC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《规范》第二十九条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2.6.12</w:t>
            </w:r>
          </w:p>
        </w:tc>
      </w:tr>
      <w:tr w14:paraId="7344D4F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EE33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EE8C9C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A42B3F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3BD983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有毒、易燃、易爆和其他危险品的验收、贮存、管理等应当执行国家有关规定。</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21CA1D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C912F9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《规范》第二十九条</w:t>
            </w:r>
          </w:p>
        </w:tc>
      </w:tr>
      <w:tr w14:paraId="6E25913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2DBB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499CEC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4210B0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797BCA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企业应当配备与产品生产规模、品种、检验要求相适应的检验场所和设施。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D235F0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9AB3B1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《规范》第三十条</w:t>
            </w:r>
          </w:p>
        </w:tc>
      </w:tr>
      <w:tr w14:paraId="351757C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5A5C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C8275C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D0B6E9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040C2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企业应当根据产品特性、生产工艺以及外部环境等配置相应设施，如空调净化系统、工艺用水系统、工艺用气系统以及防静电设施等。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2B783D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7588AF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《规范》第三十一条</w:t>
            </w:r>
          </w:p>
        </w:tc>
      </w:tr>
      <w:tr w14:paraId="7820BBC2">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C072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9CE8C4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30D9C7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34DF951">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企业应当对相关设施进行确认并开展日常监测和维护，确保符合预定用途。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ACB4E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D83A28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《规范》第三十一条</w:t>
            </w:r>
          </w:p>
        </w:tc>
      </w:tr>
      <w:tr w14:paraId="01FB1A2A">
        <w:tblPrEx>
          <w:tblCellMar>
            <w:top w:w="0" w:type="dxa"/>
            <w:left w:w="108" w:type="dxa"/>
            <w:bottom w:w="0" w:type="dxa"/>
            <w:right w:w="108"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163C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077A88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8A6885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3520B71">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企业应当根据所生产的无菌医疗器械的质量要求，确定在相应级别洁净室（区）内进行生产的过程，避免生产中的污染。洁净室（区）空气洁净度级别指标应当符合医疗器械相关行业标准的要求。</w:t>
            </w:r>
          </w:p>
          <w:p w14:paraId="6798165B">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介入到血管内的无菌医疗器械及需要在10,000级下的局部100级洁净室（区）内进行后续加工（如灌装封等）的无菌医疗器械或单包装出厂的配件，其末道清洁处理、组装、初包装、封口的生产区域和不经清洁处理的零部件的加工生产区域应当不低于10,000级洁净度级别</w:t>
            </w:r>
            <w:r>
              <w:rPr>
                <w:rFonts w:hint="eastAsia" w:ascii="Times New Roman" w:hAnsi="Times New Roman" w:eastAsia="仿宋_GB2312" w:cs="Times New Roman"/>
                <w:kern w:val="0"/>
                <w:sz w:val="22"/>
                <w:szCs w:val="22"/>
                <w:lang w:eastAsia="zh-CN" w:bidi="ar"/>
              </w:rPr>
              <w:t>；</w:t>
            </w:r>
            <w:r>
              <w:rPr>
                <w:rFonts w:hint="default" w:ascii="Times New Roman" w:hAnsi="Times New Roman" w:eastAsia="仿宋_GB2312" w:cs="Times New Roman"/>
                <w:kern w:val="0"/>
                <w:sz w:val="22"/>
                <w:szCs w:val="22"/>
                <w:lang w:bidi="ar"/>
              </w:rPr>
              <w:t xml:space="preserve"> </w:t>
            </w:r>
          </w:p>
          <w:p w14:paraId="1673F6BA">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与血液、骨髓腔或非自然腔道直接或间接接触的无菌医疗器械或单包装出厂的配件，其末道清洁处理、组装、初包装、封口的生产区域和不经清洁处理的零部件的加工生产区域应当不低于100,000级洁净度级别</w:t>
            </w:r>
            <w:r>
              <w:rPr>
                <w:rFonts w:hint="eastAsia" w:ascii="Times New Roman" w:hAnsi="Times New Roman" w:eastAsia="仿宋_GB2312" w:cs="Times New Roman"/>
                <w:kern w:val="0"/>
                <w:sz w:val="22"/>
                <w:szCs w:val="22"/>
                <w:lang w:eastAsia="zh-CN" w:bidi="ar"/>
              </w:rPr>
              <w:t>；</w:t>
            </w:r>
          </w:p>
          <w:p w14:paraId="67A8E38A">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（三）与人体损伤表面和粘膜接触的无菌医疗器械或单包装出厂的配件，其末道清洁处理、组装、初包装、封口的生产区域和不经清洁处理的零部件的加工生产区域应当不低于300,000级洁净度级别</w:t>
            </w:r>
            <w:r>
              <w:rPr>
                <w:rFonts w:hint="eastAsia" w:ascii="Times New Roman" w:hAnsi="Times New Roman" w:eastAsia="仿宋_GB2312" w:cs="Times New Roman"/>
                <w:kern w:val="0"/>
                <w:sz w:val="22"/>
                <w:szCs w:val="22"/>
                <w:lang w:eastAsia="zh-CN" w:bidi="ar"/>
              </w:rPr>
              <w:t>；</w:t>
            </w:r>
          </w:p>
          <w:p w14:paraId="23C3A3ED">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与无菌医疗器械的使用表面直接接触、不需清洁处理即使用的初包装材料，其生产环境洁净度级别的设置应当遵循与产品生产环境的洁净度级别相同的原则，使初包装材料的质量满足所包装无菌医疗器械的要求；若初包装材料不与无菌医疗器械使用表面直接接触，应当在不低于300,000级洁净室（区）内生产</w:t>
            </w:r>
            <w:r>
              <w:rPr>
                <w:rFonts w:hint="eastAsia" w:ascii="Times New Roman" w:hAnsi="Times New Roman" w:eastAsia="仿宋_GB2312" w:cs="Times New Roman"/>
                <w:kern w:val="0"/>
                <w:sz w:val="22"/>
                <w:szCs w:val="22"/>
                <w:lang w:eastAsia="zh-CN" w:bidi="ar"/>
              </w:rPr>
              <w:t>；</w:t>
            </w:r>
          </w:p>
          <w:p w14:paraId="57D8D19F">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（五）对于有要求或采用无菌操作技术加工的无菌医疗器械（包括医用材料），应当在10,000级下的局部100级洁净室（区）内进行生产。100级的洁净室（区）内不得设置地漏</w:t>
            </w:r>
            <w:r>
              <w:rPr>
                <w:rFonts w:hint="eastAsia" w:ascii="Times New Roman" w:hAnsi="Times New Roman" w:eastAsia="仿宋_GB2312" w:cs="Times New Roman"/>
                <w:kern w:val="0"/>
                <w:sz w:val="22"/>
                <w:szCs w:val="22"/>
                <w:lang w:eastAsia="zh-CN" w:bidi="ar"/>
              </w:rPr>
              <w:t>；</w:t>
            </w:r>
          </w:p>
          <w:p w14:paraId="1A7EC2B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六）洁净工作服清洗干燥间、洁具间、专用工位器具的末道清洁处理与消毒的区域的空气洁净度级别可低于生产区一个级别，但不得低于300,000级。无菌工作服的整理、灭菌后的贮存应当在10,000级洁净室（区）内。</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C5792A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96BF767">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2.2.2、2.2.10、2.2.3、2.2.4、2.2.5、2.2.6、2.2.7、2.2.8、2.2.14</w:t>
            </w:r>
          </w:p>
        </w:tc>
      </w:tr>
      <w:tr w14:paraId="7D72A491">
        <w:tblPrEx>
          <w:tblCellMar>
            <w:top w:w="0" w:type="dxa"/>
            <w:left w:w="108" w:type="dxa"/>
            <w:bottom w:w="0" w:type="dxa"/>
            <w:right w:w="108" w:type="dxa"/>
          </w:tblCellMar>
        </w:tblPrEx>
        <w:trPr>
          <w:cantSplit/>
          <w:trHeight w:val="1738"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CADC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D27979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798F5D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AA5D05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洁净室（区）空气净化系统应当经过确认并保持连续运行，维持相应的洁净度级别，并在一定周期后进行再确认。若停机后再次开启空气净化系统，应当进行必要的测试或验证，以确认仍能达到规定的洁净度级别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28D8CB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CB4F686">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2.3.2</w:t>
            </w:r>
          </w:p>
        </w:tc>
      </w:tr>
      <w:tr w14:paraId="7EB2DB94">
        <w:tblPrEx>
          <w:tblCellMar>
            <w:top w:w="0" w:type="dxa"/>
            <w:left w:w="108" w:type="dxa"/>
            <w:bottom w:w="0" w:type="dxa"/>
            <w:right w:w="108" w:type="dxa"/>
          </w:tblCellMar>
        </w:tblPrEx>
        <w:trPr>
          <w:cantSplit/>
          <w:trHeight w:val="1557"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588A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5E3313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20A383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4.7.5</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6BE757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企业应当按照医疗器械相关行业标准要求对洁净室（区）的尘粒、浮游菌或沉降菌、换气次数或风速、静压差、温度和相对湿度进行定期检（监）测，并保存检（监）测记录。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0BE867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4F4A6BF">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2.7.3</w:t>
            </w:r>
          </w:p>
        </w:tc>
      </w:tr>
      <w:tr w14:paraId="00CA13BD">
        <w:tblPrEx>
          <w:tblCellMar>
            <w:top w:w="0" w:type="dxa"/>
            <w:left w:w="108" w:type="dxa"/>
            <w:bottom w:w="0" w:type="dxa"/>
            <w:right w:w="108"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7871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B8E8E4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FDE7C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4.7.6</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F401D62">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企业应当确定所需要的工艺用水。当生产过程中使用工艺用水时，应当配备相应的制水设备，并有防止污染的措施，用量较大时应当通过管道输送至洁净室（区）的用水点。工艺用水应当满足产品质量的要求。</w:t>
            </w:r>
          </w:p>
          <w:p w14:paraId="29FA290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b/>
                <w:bCs/>
                <w:kern w:val="0"/>
                <w:sz w:val="22"/>
                <w:szCs w:val="22"/>
                <w:lang w:bidi="ar"/>
              </w:rPr>
              <w:t>注：原则上</w:t>
            </w:r>
            <w:r>
              <w:rPr>
                <w:rFonts w:hint="default" w:ascii="Times New Roman" w:hAnsi="Times New Roman" w:eastAsia="仿宋_GB2312" w:cs="Times New Roman"/>
                <w:b/>
                <w:bCs/>
                <w:kern w:val="0"/>
                <w:sz w:val="22"/>
                <w:szCs w:val="22"/>
                <w:lang w:eastAsia="zh-CN" w:bidi="ar"/>
              </w:rPr>
              <w:t>，</w:t>
            </w:r>
            <w:r>
              <w:rPr>
                <w:rFonts w:hint="default" w:ascii="Times New Roman" w:hAnsi="Times New Roman" w:eastAsia="仿宋_GB2312" w:cs="Times New Roman"/>
                <w:b/>
                <w:bCs/>
                <w:kern w:val="0"/>
                <w:sz w:val="22"/>
                <w:szCs w:val="22"/>
                <w:lang w:bidi="ar"/>
              </w:rPr>
              <w:t>对于直接或间接接触心血管系统、淋巴系统或脑脊髓液或药液的无菌医疗器械，若水是最终产品的组成成分时，应当使用符合《中国药典》要求的注射用水；用于末道清洗应当使用符合《中国药典》要求的注射用水或用超滤等其他方法产生的同等要求的注射用水；与人体组织、骨腔或自然腔体接触的无菌医疗器械，末道清洗用水应当使用符合《中国药典》要求的纯化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E01318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5621819">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2.3.3</w:t>
            </w:r>
          </w:p>
          <w:p w14:paraId="023291EE">
            <w:pPr>
              <w:widowControl/>
              <w:spacing w:after="0" w:line="240" w:lineRule="auto"/>
              <w:jc w:val="center"/>
              <w:textAlignment w:val="center"/>
              <w:rPr>
                <w:rFonts w:hint="default" w:ascii="Times New Roman" w:hAnsi="Times New Roman" w:eastAsia="仿宋_GB2312" w:cs="Times New Roman"/>
                <w:sz w:val="22"/>
                <w:szCs w:val="22"/>
              </w:rPr>
            </w:pPr>
          </w:p>
        </w:tc>
      </w:tr>
      <w:tr w14:paraId="68C9364F">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F7A5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627A52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F947B0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4.7.7</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743652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企业应当制定工艺用水的管理文件，工艺用水的储罐和输送管道应当满足产品要求，并定期清洗、消毒。</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B53F67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B54AC57">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2.3.4</w:t>
            </w:r>
          </w:p>
        </w:tc>
      </w:tr>
      <w:tr w14:paraId="671AFBB6">
        <w:tblPrEx>
          <w:tblCellMar>
            <w:top w:w="0" w:type="dxa"/>
            <w:left w:w="108" w:type="dxa"/>
            <w:bottom w:w="0" w:type="dxa"/>
            <w:right w:w="108" w:type="dxa"/>
          </w:tblCellMar>
        </w:tblPrEx>
        <w:trPr>
          <w:cantSplit/>
          <w:trHeight w:val="737"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6D30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B11070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7BB2D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4.7.8</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35B07C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企业应当对工艺用水进行监控和定期检测，并保持监控记录和检测报告。</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885B3C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C440183">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2.7.2</w:t>
            </w:r>
          </w:p>
        </w:tc>
      </w:tr>
      <w:tr w14:paraId="23F894BC">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00905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7A735A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13214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4.7.9</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E79989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洁净室（区）内使用的压缩空气等工艺用气均应当经过净化处理。与产品使用表面直接接触的气体，其对产品的影响程度应当进行验证和控制，以适应所生产产品的要求。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53BC96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081E130">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2.2.15</w:t>
            </w:r>
          </w:p>
        </w:tc>
      </w:tr>
      <w:tr w14:paraId="1F8404B9">
        <w:tblPrEx>
          <w:tblCellMar>
            <w:top w:w="0" w:type="dxa"/>
            <w:left w:w="108" w:type="dxa"/>
            <w:bottom w:w="0" w:type="dxa"/>
            <w:right w:w="108" w:type="dxa"/>
          </w:tblCellMar>
        </w:tblPrEx>
        <w:trPr>
          <w:cantSplit/>
          <w:trHeight w:val="1984"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7A49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8C2DBF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74137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875F8B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环境有洁净级别要求的，洁净区与非洁净区之间静压差应当大于10帕斯卡，不同级别洁净区之间静压差应当大于5帕斯卡，并应有指示压差的装置。必要时，相同洁净度级别不同功能区域（操作间）之间也应当保持适当压差梯度。</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90F7D1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B90D80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《规范》第三十二条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2.2.2</w:t>
            </w:r>
          </w:p>
        </w:tc>
      </w:tr>
      <w:tr w14:paraId="3B9D0BA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A764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718583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BB6D26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864B58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生产过程中产生大量粉尘、烟雾、毒害物等的操作区域应当保持相对负压，排至室外的废气应当经过净化处理并符合要求。厂房和设备还需针对上述有害物质及射线、紫外线等安装相应防护装置。</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C7B7A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D76219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《规范》第三十二条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2.6.1</w:t>
            </w:r>
          </w:p>
        </w:tc>
      </w:tr>
      <w:tr w14:paraId="11DF9FFE">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E888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E4E636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1A834A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DF7E3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生产、检验、贮存等过程中使用信息化系统的，企业应当配备满足预定用途的硬件设施和软件运行环境，并采取适宜措施防止外来因素干扰。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CC24E9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141CBE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《规范》第三十三条</w:t>
            </w:r>
          </w:p>
        </w:tc>
      </w:tr>
      <w:tr w14:paraId="6988DA84">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6AEB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B1BA36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9AB07F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574A4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生产、检验和贮存区不应作为非本区工作人员的直接通道。企业应当采取适宜措施，防止未经批准人员进入。</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4580B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03A34C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《规范》第三十四条</w:t>
            </w:r>
          </w:p>
        </w:tc>
      </w:tr>
      <w:tr w14:paraId="59EABDAC">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FBA0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E7345D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A7CC2D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4.11.1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1B7183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企业应当保存厂房和设施相关的文档，包括但不限于总平面布局图、生产区域分布图、使用说明、维护保养规定等。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2A1CD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EBF768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《规范》第三十五条</w:t>
            </w:r>
          </w:p>
        </w:tc>
      </w:tr>
      <w:tr w14:paraId="09850D1F">
        <w:tblPrEx>
          <w:tblCellMar>
            <w:top w:w="0" w:type="dxa"/>
            <w:left w:w="108" w:type="dxa"/>
            <w:bottom w:w="0" w:type="dxa"/>
            <w:right w:w="108" w:type="dxa"/>
          </w:tblCellMar>
        </w:tblPrEx>
        <w:trPr>
          <w:cantSplit/>
          <w:trHeight w:val="964" w:hRule="atLeas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B7EF2E">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 xml:space="preserve">第五章 </w:t>
            </w:r>
          </w:p>
          <w:p w14:paraId="36E744B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设备</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B99345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37C4F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51D088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企业应当配备与所生产产品和规模相匹配的生产设备、检验仪器和设备、工装夹具等，并确保有效运行。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E797DE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FA8780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《规范》第三十六条</w:t>
            </w:r>
          </w:p>
        </w:tc>
      </w:tr>
      <w:tr w14:paraId="5A0BAAC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9575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44759C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F2536D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1E09860">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设备和仪器的设计、选型、安装、维护和维修应当符合预定用途，便于操作、清洁和维护。</w:t>
            </w:r>
          </w:p>
          <w:p w14:paraId="3FA81BDA">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（一）生产设备、工装夹具和工位器具应当符合洁净环境控制和工艺文件的要求</w:t>
            </w:r>
            <w:r>
              <w:rPr>
                <w:rFonts w:hint="eastAsia" w:ascii="Times New Roman" w:hAnsi="Times New Roman" w:eastAsia="仿宋_GB2312" w:cs="Times New Roman"/>
                <w:kern w:val="0"/>
                <w:sz w:val="22"/>
                <w:szCs w:val="22"/>
                <w:lang w:eastAsia="zh-CN" w:bidi="ar"/>
              </w:rPr>
              <w:t>；</w:t>
            </w:r>
          </w:p>
          <w:p w14:paraId="6DDD518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（二）与原材料或产品直接接触的设备、工装夹具及管道表面应当光洁、平整、无颗粒物质脱落、无毒、耐腐蚀，不与原材料或产品发生化学反应和粘连，易于清洁处理、消毒或灭菌。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063200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0E2F7F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《规范》第三十六条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2.3.1、2.3.5</w:t>
            </w:r>
          </w:p>
        </w:tc>
      </w:tr>
      <w:tr w14:paraId="322F412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E35F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CDE9A8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CF59F8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5C99034">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企业应当建立设备和仪器档案，包括但不限于采购、安装、确认等文件和记录。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2939E6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F88770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《规范》第三十七条</w:t>
            </w:r>
          </w:p>
        </w:tc>
      </w:tr>
      <w:tr w14:paraId="30628578">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0B07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F403CC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9D7DF7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83F8C4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企业应当建立主要设备和仪器的使用、维护和维修操作规程，保留相关记录，确保相关活动可追溯。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9C39EC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B29621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《规范》第三十八条</w:t>
            </w:r>
          </w:p>
        </w:tc>
      </w:tr>
      <w:tr w14:paraId="16734102">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9809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D86F41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BEB41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27BF234">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企业应当标明主要设备、仪器和工装夹具的编号与名称。出现异常情况时，应当配备异常状态标识，防止非预期使用。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715881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6EB6B2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《规范》第三十九条</w:t>
            </w:r>
          </w:p>
        </w:tc>
      </w:tr>
      <w:tr w14:paraId="0F24FD2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F3BA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D4A001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FAE27A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CBA41B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企业应当按照操作规程和校准或者检定计划，定期对主要设备和仪器进行校准或者检定，校准的量程范围应当涵盖实际使用范围。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3C17E5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3CA976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《规范》第四十条</w:t>
            </w:r>
          </w:p>
        </w:tc>
      </w:tr>
      <w:tr w14:paraId="037F6B9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DD2D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8EFFC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100632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EEA801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企业应当配备适当的计量器具，计量器具的量程和精度应当满足使用要求，并标明校准或者检定有效期。</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AC91A7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9EFEB6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《规范》第四十条</w:t>
            </w:r>
          </w:p>
        </w:tc>
      </w:tr>
      <w:tr w14:paraId="328FDE0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A2E90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67CDA2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9EFE5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5.5.3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0ED60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企业应当保留校准或者检定记录。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CC11C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3BC9E6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《规范》第四十条</w:t>
            </w:r>
          </w:p>
        </w:tc>
      </w:tr>
      <w:tr w14:paraId="034DD0E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5F83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A511F2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9A507F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5.6.1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2B542C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企业应当对经过改造或者重大维修的设备和仪器进行再确认，符合要求后方可使用。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75404F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DFD623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《规范》第四十一条</w:t>
            </w:r>
          </w:p>
        </w:tc>
      </w:tr>
      <w:tr w14:paraId="499B2A4D">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AE7E8A">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第六章</w:t>
            </w:r>
          </w:p>
          <w:p w14:paraId="0BF54AE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文件和数据管理</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D01F03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658A88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3372E3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企业应当建立健全质量管理体系文件，包括质量方针和质量目标、质量手册、程序文件、技术文件和记录，以及法规要求的其他文件。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A8C588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F71B5E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《规范》第四十二条</w:t>
            </w:r>
          </w:p>
        </w:tc>
      </w:tr>
      <w:tr w14:paraId="1AC3638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008EE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12B0D5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66CC5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DC5E24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质量手册应当对质量管理体系作出规定。程序文件应当根据产品设计开发、生产和质量管理等活动的实际需要制定，包含本规范所规定的各项程序。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FDE684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476B0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《规范》第四十二条</w:t>
            </w:r>
          </w:p>
        </w:tc>
      </w:tr>
      <w:tr w14:paraId="1080667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C44B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8A51EA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F3C04E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6.1.3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795A47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技术文件应当包括产品技术要求以及相关标准、生产工艺规程、作业指导书、检验和试验操作规程、安装和服务操作规程等。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50C7F4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ED5770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《规范》第四十二条</w:t>
            </w:r>
          </w:p>
        </w:tc>
      </w:tr>
      <w:tr w14:paraId="57D00E3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EE08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A3851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5BD04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1E98D25">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企业应当建立文件控制程序，系统设计、制定、审核、批准、发放和保存质量管理体系文件，并符合下列要求：</w:t>
            </w:r>
          </w:p>
          <w:p w14:paraId="32E72610">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 文件的起草、修订、审核、批准、替换或者撤销、复制、保管和销毁等应当按照文件控制程序管理，并有相应分发、替换或者撤销、销毁记录；应当根据文件不同用途与类型，明确适宜受控方法；</w:t>
            </w:r>
          </w:p>
          <w:p w14:paraId="1B2B0C6B">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 修订或者更新文件时，应当经过评审和批准，并确保能够识别文件修订或者更新状态；</w:t>
            </w:r>
          </w:p>
          <w:p w14:paraId="11CBE9B2">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 分发和使用的文件应当为适宜文本，已撤销或者作废文件应当进行标识，防止误用；</w:t>
            </w:r>
          </w:p>
          <w:p w14:paraId="788F30E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（四） 明确必要的质量管理体系文件如技术文件等作废后的保存期限，以满足产品维修和产品质量责任追溯等需要。</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C871A6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0843D3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《规范》第四十三条</w:t>
            </w:r>
          </w:p>
        </w:tc>
      </w:tr>
      <w:tr w14:paraId="46ADED4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44AC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8BD4EF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CE223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CD6CE3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企业应当指定部门或者人员负责识别医疗器械相关法律、法规、规范、标准等外部文件变化情况，及时更新质量管理体系文件。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08E7FF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3188B3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《规范》第四十四条</w:t>
            </w:r>
          </w:p>
        </w:tc>
      </w:tr>
      <w:tr w14:paraId="39CE2DB2">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713E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CFCF36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B6E946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1BB951A">
            <w:pPr>
              <w:widowControl/>
              <w:spacing w:after="0" w:line="240" w:lineRule="auto"/>
              <w:jc w:val="left"/>
              <w:textAlignment w:val="center"/>
              <w:rPr>
                <w:rFonts w:hint="default" w:ascii="Times New Roman" w:hAnsi="Times New Roman" w:eastAsia="仿宋_GB2312" w:cs="Times New Roman"/>
                <w:color w:val="auto"/>
                <w:kern w:val="0"/>
                <w:sz w:val="22"/>
                <w:szCs w:val="22"/>
                <w:lang w:bidi="ar"/>
              </w:rPr>
            </w:pPr>
            <w:r>
              <w:rPr>
                <w:rFonts w:hint="default" w:ascii="Times New Roman" w:hAnsi="Times New Roman" w:eastAsia="仿宋_GB2312" w:cs="Times New Roman"/>
                <w:color w:val="auto"/>
                <w:kern w:val="0"/>
                <w:sz w:val="22"/>
                <w:szCs w:val="22"/>
                <w:lang w:bidi="ar"/>
              </w:rPr>
              <w:t>企业应当建立记录控制程序，包括记录的标识、保管、检索、保存期限和处置要求等，并符合下列要求：</w:t>
            </w:r>
          </w:p>
          <w:p w14:paraId="0E879EC3">
            <w:pPr>
              <w:widowControl/>
              <w:spacing w:after="0" w:line="240" w:lineRule="auto"/>
              <w:jc w:val="left"/>
              <w:textAlignment w:val="center"/>
              <w:rPr>
                <w:rFonts w:hint="default" w:ascii="Times New Roman" w:hAnsi="Times New Roman" w:eastAsia="仿宋_GB2312" w:cs="Times New Roman"/>
                <w:color w:val="auto"/>
                <w:kern w:val="0"/>
                <w:sz w:val="22"/>
                <w:szCs w:val="22"/>
                <w:lang w:bidi="ar"/>
              </w:rPr>
            </w:pPr>
            <w:r>
              <w:rPr>
                <w:rFonts w:hint="default" w:ascii="Times New Roman" w:hAnsi="Times New Roman" w:eastAsia="仿宋_GB2312" w:cs="Times New Roman"/>
                <w:color w:val="auto"/>
                <w:kern w:val="0"/>
                <w:sz w:val="22"/>
                <w:szCs w:val="22"/>
                <w:lang w:bidi="ar"/>
              </w:rPr>
              <w:t xml:space="preserve">（一） 记录应当保证产品设计开发、生产、质量控制和产品放行等活动可追溯； </w:t>
            </w:r>
          </w:p>
          <w:p w14:paraId="3CC8ACC4">
            <w:pPr>
              <w:widowControl/>
              <w:spacing w:after="0" w:line="240" w:lineRule="auto"/>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lang w:bidi="ar"/>
              </w:rPr>
              <w:t>（二） 记录应当真实、准确、完整、及时、清晰，易于识别和检索，防止破损和丢失；</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D346B7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325A23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《规范》第四十五条</w:t>
            </w:r>
          </w:p>
        </w:tc>
      </w:tr>
      <w:tr w14:paraId="519EBAD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F8817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335D63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1FA690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84B34D0">
            <w:pPr>
              <w:widowControl/>
              <w:spacing w:after="0" w:line="240" w:lineRule="auto"/>
              <w:jc w:val="left"/>
              <w:textAlignment w:val="center"/>
              <w:rPr>
                <w:rFonts w:hint="default" w:ascii="Times New Roman" w:hAnsi="Times New Roman" w:eastAsia="仿宋_GB2312" w:cs="Times New Roman"/>
                <w:color w:val="auto"/>
                <w:kern w:val="0"/>
                <w:sz w:val="22"/>
                <w:szCs w:val="22"/>
                <w:lang w:bidi="ar"/>
              </w:rPr>
            </w:pPr>
            <w:r>
              <w:rPr>
                <w:rFonts w:hint="default" w:ascii="Times New Roman" w:hAnsi="Times New Roman" w:eastAsia="仿宋_GB2312" w:cs="Times New Roman"/>
                <w:color w:val="auto"/>
                <w:kern w:val="0"/>
                <w:sz w:val="22"/>
                <w:szCs w:val="22"/>
                <w:lang w:bidi="ar"/>
              </w:rPr>
              <w:t>（三） 记录不得随意涂改或者销毁，必须更改时，应当注明更改理由、更改人员和日期，原有信息清晰可辨；</w:t>
            </w:r>
          </w:p>
          <w:p w14:paraId="5CA581E0">
            <w:pPr>
              <w:widowControl/>
              <w:spacing w:after="0" w:line="240" w:lineRule="auto"/>
              <w:jc w:val="left"/>
              <w:textAlignment w:val="center"/>
              <w:rPr>
                <w:rFonts w:hint="default" w:ascii="Times New Roman" w:hAnsi="Times New Roman" w:eastAsia="仿宋_GB2312" w:cs="Times New Roman"/>
                <w:color w:val="auto"/>
                <w:sz w:val="22"/>
                <w:szCs w:val="22"/>
              </w:rPr>
            </w:pPr>
            <w:r>
              <w:rPr>
                <w:rFonts w:hint="default" w:ascii="Times New Roman" w:hAnsi="Times New Roman" w:eastAsia="仿宋_GB2312" w:cs="Times New Roman"/>
                <w:color w:val="auto"/>
                <w:kern w:val="0"/>
                <w:sz w:val="22"/>
                <w:szCs w:val="22"/>
                <w:lang w:bidi="ar"/>
              </w:rPr>
              <w:t>（四） 记录保存期限至少应当与企业所规定的医疗器械寿命期保持一致或者符合相关法规要求，且自产品放行之日起不少于2年。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450B1C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47132E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《规范》第四十五条</w:t>
            </w:r>
          </w:p>
        </w:tc>
      </w:tr>
      <w:tr w14:paraId="12F35840">
        <w:tblPrEx>
          <w:tblCellMar>
            <w:top w:w="0" w:type="dxa"/>
            <w:left w:w="108" w:type="dxa"/>
            <w:bottom w:w="0" w:type="dxa"/>
            <w:right w:w="108"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0294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86BE70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7BB6C0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6.5.1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5862722">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采用信息化管理方式的，企业应当确保电子记录或者数据真实、准确、完整、及时和可追溯，并符合下列要求：</w:t>
            </w:r>
          </w:p>
          <w:p w14:paraId="471E178A">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 建立用户权限管理，确保可能对电子记录或者数据真实准确产生影响的权限得到有效控制；</w:t>
            </w:r>
          </w:p>
          <w:p w14:paraId="49342293">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 电子记录或者数据更改、删除应当由经授权的人员操作，保留更改、删除记录；</w:t>
            </w:r>
          </w:p>
          <w:p w14:paraId="62C8FF3C">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 电子记录或者数据应当进行备份，保存期限应当不低于本章定义的记录保存期限，且在保存期内便于查阅；</w:t>
            </w:r>
          </w:p>
          <w:p w14:paraId="7CD20C0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（四） 采用电子签名的，应当符合相关法律法规要求。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85670A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556B85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《规范》第四十六条</w:t>
            </w:r>
          </w:p>
        </w:tc>
      </w:tr>
      <w:tr w14:paraId="6F6ED3CF">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65CD5E">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第七章</w:t>
            </w:r>
          </w:p>
          <w:p w14:paraId="033524A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0BD99F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3C230D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9389FF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1A5634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894C5A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《规范》第四十七条</w:t>
            </w:r>
          </w:p>
        </w:tc>
      </w:tr>
      <w:tr w14:paraId="284AC58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4ACF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36A728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24DC84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579729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企业应当将风险管理理念贯穿到设计开发至产品实现全过程，制定相关要求并形成文件，使用风险管理方法和工具开展风险管理活动并保留相关记录。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5639C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C5E2D3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《规范》第四十八条</w:t>
            </w:r>
          </w:p>
        </w:tc>
      </w:tr>
      <w:tr w14:paraId="4899937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7F2F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6AF77B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A47167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A5A527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企业应当根据产品特性对设计开发进行策划，明确设计开发输入、输出、转换、验证与确认等阶段需要开展的具体活动。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AD1D9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62A81D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《规范》第四十九条</w:t>
            </w:r>
          </w:p>
        </w:tc>
      </w:tr>
      <w:tr w14:paraId="499799E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0C50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83D568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32D75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95DFC7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BA1859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2C0C2D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《规范》第四十九条</w:t>
            </w:r>
          </w:p>
        </w:tc>
      </w:tr>
      <w:tr w14:paraId="4B61C62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3814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7E4EA1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35F2FE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DAF46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设计开发输入至少应当包括根据用户需求以及预期用途所确定的功能、性能、安全以及法规、标准、风险控制措施等要求。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C56A38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CA5D2B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《规范》第五十条</w:t>
            </w:r>
          </w:p>
        </w:tc>
      </w:tr>
      <w:tr w14:paraId="0116544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0D66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981407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94EFE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E42EE2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设计开发输入要求应当清晰、完整，并经过评审和批准。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3CFFC0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C016AB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《规范》第五十条</w:t>
            </w:r>
          </w:p>
        </w:tc>
      </w:tr>
      <w:tr w14:paraId="18C41CE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1F39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7FF9C0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117031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1573D0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设计开发输出应当满足各阶段的输入要求。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210A82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D3A8D3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《规范》第五十一条</w:t>
            </w:r>
          </w:p>
        </w:tc>
      </w:tr>
      <w:tr w14:paraId="75D42D64">
        <w:tblPrEx>
          <w:tblCellMar>
            <w:top w:w="0" w:type="dxa"/>
            <w:left w:w="108" w:type="dxa"/>
            <w:bottom w:w="0" w:type="dxa"/>
            <w:right w:w="108"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CDB1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0E177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09536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497C457">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设计开发输出至少应当包括采购、生产、检验、使用和服务所需的相关信息以及产品技术要求等。设计开发输出应当经过验证并得到批准。</w:t>
            </w:r>
          </w:p>
          <w:p w14:paraId="58EB5DEF">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（一）应当选择适宜的方法对产品进行灭菌或采用适宜的无菌加工技术以保证产品无菌，并执行相关法规和标准的要求</w:t>
            </w:r>
            <w:r>
              <w:rPr>
                <w:rFonts w:hint="eastAsia" w:ascii="Times New Roman" w:hAnsi="Times New Roman" w:eastAsia="仿宋_GB2312" w:cs="Times New Roman"/>
                <w:kern w:val="0"/>
                <w:sz w:val="22"/>
                <w:szCs w:val="22"/>
                <w:lang w:eastAsia="zh-CN" w:bidi="ar"/>
              </w:rPr>
              <w:t>；</w:t>
            </w:r>
          </w:p>
          <w:p w14:paraId="7B5DAF9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（二）应当明确灭菌工艺（方法和参数）和无菌保证水平（SAL）。如灭菌使用的方法容易出现残留,应当明确残留物信息及采取的处理方法。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89ECBC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73E7D52">
            <w:pPr>
              <w:widowControl/>
              <w:spacing w:after="0" w:line="240" w:lineRule="auto"/>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《规范》第五十一条</w:t>
            </w:r>
            <w:r>
              <w:rPr>
                <w:rFonts w:hint="eastAsia" w:ascii="Times New Roman" w:hAnsi="Times New Roman" w:eastAsia="仿宋_GB2312" w:cs="Times New Roman"/>
                <w:kern w:val="0"/>
                <w:sz w:val="22"/>
                <w:szCs w:val="22"/>
                <w:lang w:eastAsia="zh-CN" w:bidi="ar"/>
              </w:rPr>
              <w:t>，</w:t>
            </w:r>
          </w:p>
          <w:p w14:paraId="5B4A8BB8">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2.6.8、2.4.1、2.4.2</w:t>
            </w:r>
          </w:p>
        </w:tc>
      </w:tr>
      <w:tr w14:paraId="23EABC1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017E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2E9147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4C45EA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E2BC8F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CC1088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7507BD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《规范》第五十二条</w:t>
            </w:r>
          </w:p>
        </w:tc>
      </w:tr>
      <w:tr w14:paraId="2495988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5B33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96CFEF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E33986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C10B9F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企业应当在设计开发的适宜阶段进行评审，持续评价设计开发输出满足输入要求的能力，识别问题并提出必要的改进措施。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42AFA1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9E689E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《规范》第五十三条</w:t>
            </w:r>
          </w:p>
        </w:tc>
      </w:tr>
      <w:tr w14:paraId="3612BC3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2CEF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C2C472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96516A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0000B4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企业应当对设计开发进行验证，确保设计开发输出满足输入要求。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8D6A70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EE194D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《规范》第五十四条</w:t>
            </w:r>
          </w:p>
        </w:tc>
      </w:tr>
      <w:tr w14:paraId="421674AF">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EE23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A15F64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E443C8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04494C5">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企业应当保留验证相关文件，至少包括验证方案、验证报告、验证结果和结论以及验证过程记录等。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B41D66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2C89DC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《规范》第五十四条</w:t>
            </w:r>
          </w:p>
        </w:tc>
      </w:tr>
      <w:tr w14:paraId="5421874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DB51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A8E8BA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A2513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A78AE1">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企业应当对设计开发进行确认，确保产品满足规定使用要求或者预期用途。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94E55A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B7BEAB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《规范》第五十五条</w:t>
            </w:r>
          </w:p>
        </w:tc>
      </w:tr>
      <w:tr w14:paraId="0D20823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0EF7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AB37E1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6F38C1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E7275C5">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设计开发确认可以采用临床评价或者非临床评价方式。开展临床试验的，应当符合医疗器械临床试验相关要求。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274962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244409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《规范》第五十五条</w:t>
            </w:r>
          </w:p>
        </w:tc>
      </w:tr>
      <w:tr w14:paraId="6EDB8EF2">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F472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A6ABCF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83EDE6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1804AC5">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企业应当对设计开发变更进行识别并评估变更影响。必要时，应当对设计开发变更进行验证、确认，并在实施前得到批准。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2A7CAA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0BB83B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《规范》第五十六条</w:t>
            </w:r>
          </w:p>
        </w:tc>
      </w:tr>
      <w:tr w14:paraId="42D1A7B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97AB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FC1820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EDC6B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382692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企业应当建立产品设计开发文档，包括设计开发过程中建立或者引用的记录，确保历次设计开发输出过程以及相关活动可追溯。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E65EFC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5F6A80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《规范》第五十七条</w:t>
            </w:r>
          </w:p>
        </w:tc>
      </w:tr>
      <w:tr w14:paraId="0286F90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D07E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3C8A21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EDCE3A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9E751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委托设计开发医疗器械的，委托方应当对受托方研发与持续技术支持能力进行评估。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F7391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ECB8FA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《规范》第五十八条</w:t>
            </w:r>
          </w:p>
        </w:tc>
      </w:tr>
      <w:tr w14:paraId="59667C1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6601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0A2B83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49F38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CBD5379">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企业应当与受托方签订协议，明确委托设计开发活动范围、责任以及设计开发文档转移要求。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1333C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DA835F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《规范》第五十八条</w:t>
            </w:r>
          </w:p>
        </w:tc>
      </w:tr>
      <w:tr w14:paraId="0E5CE19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C224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7A8AA9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FB5431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7.12.3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14E866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企业应当对委托设计开发过程和结果进行管理并承担相应责任，确保设计开发过程满足法律法规和协议要求。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59C1F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75C730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《规范》第五十八条</w:t>
            </w:r>
          </w:p>
        </w:tc>
      </w:tr>
      <w:tr w14:paraId="6E04635D">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36F5F3">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第八章</w:t>
            </w:r>
          </w:p>
          <w:p w14:paraId="6E659EC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采购与原材料管理</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4C042C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8AAB2F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D5FDFBF">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企业应当建立采购控制程序，确保采购的原材料或者服务符合规定要求，且不低于法律、法规、规章和强制性标准相关要求。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717CDA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C94C9C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《规范》第五十九条</w:t>
            </w:r>
          </w:p>
        </w:tc>
      </w:tr>
      <w:tr w14:paraId="23CA40B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C402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6A6982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62BA4B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7B67CE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企业应当根据采购原材料或者服务对产品影响程度，对采购原材料或者服务以及供应商进行分类管理。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D9D408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7E3013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《规范》第六十条</w:t>
            </w:r>
          </w:p>
        </w:tc>
      </w:tr>
      <w:tr w14:paraId="063681C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C506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6B3CBA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1C6F4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694BE7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供应商管理应当考虑采购原材料或者服务、生产工艺复杂程度、对产品质量安全影响程度、首次供应或者持续供应等因素。</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BC12FE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AC5B0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《规范》第六十条</w:t>
            </w:r>
          </w:p>
        </w:tc>
      </w:tr>
      <w:tr w14:paraId="2E52E5F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2151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FED363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4A97CF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1C634F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企业应当建立供应商审核制度，明确供应商选择、评价和再评价准则和方法，根据审核评价结果建立合格供应商名单。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18A2C1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AE8755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《规范》第六十一条</w:t>
            </w:r>
          </w:p>
        </w:tc>
      </w:tr>
      <w:tr w14:paraId="69D7D57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F4429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0D30CC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C89F1A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0ECABD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企业应当结合产品质量风险、原材料用量以及对产品质量影响程度，确定是否对供应商进行现场审核。</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BA7309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4573F1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《规范》第六十一条</w:t>
            </w:r>
          </w:p>
        </w:tc>
      </w:tr>
      <w:tr w14:paraId="44C941D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91690">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7FD82A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9BC69F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3B22F0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企业应当对供应商定期进行综合评价，回顾分析其供应原材料或者服务的质量、技术水平、交付能力等。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FAACD5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20BE80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《规范》第六十二条</w:t>
            </w:r>
          </w:p>
        </w:tc>
      </w:tr>
      <w:tr w14:paraId="0508686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8C17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8275B8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B6C1B1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E738FD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经评估认为供应商存在重大缺陷的，企业应当中止采购，及时分析相关缺陷对产品带来的风险，必要时采取相应措施。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02E93E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A9B29F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《规范》第六十二条</w:t>
            </w:r>
          </w:p>
        </w:tc>
      </w:tr>
      <w:tr w14:paraId="4678C71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F6AF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F4615A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43A3F3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7CDB44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企业应当与关键供应商签订质量协议，明确采购原材料或者服务的技术要求、验收标准和双方质量责任。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2CF604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6315E4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《规范》第六十三条</w:t>
            </w:r>
          </w:p>
        </w:tc>
      </w:tr>
      <w:tr w14:paraId="4AF4DD8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3015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548D89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5FDF1F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171C87A">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企业应当建立关键供应商质量档案。</w:t>
            </w:r>
          </w:p>
          <w:p w14:paraId="5B0E477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档案至少包括：供应商资质证明文件、审核报告、采购合同或者质量协议、采购物品清单、产品技术要求或者质量标准、验收准则，供应商能力或者绩效监测、定期审核、评价和再评价结果以及由其引发的相关措施记录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D02FA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73858E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《规范》第六十三条</w:t>
            </w:r>
          </w:p>
        </w:tc>
      </w:tr>
      <w:tr w14:paraId="7B7FBFC3">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AB17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FD36B6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0CB8AC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5EAA0E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企业应当明确采购信息和采购要求，包括采购原材料或者服务的类别、验收准则、规格型号、规程、图样等内容。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CECE72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B198C1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《规范》第六十四条</w:t>
            </w:r>
          </w:p>
        </w:tc>
      </w:tr>
      <w:tr w14:paraId="2E293093">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7661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0FE1E3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594EFA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7BDA52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企业应当保留采购记录，包括采购合同、采购清单、检验报告等，采购记录应当真实、准确、完整和可追溯。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A1B74D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61F958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《规范》第六十四条</w:t>
            </w:r>
          </w:p>
        </w:tc>
      </w:tr>
      <w:tr w14:paraId="5F5B18F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710B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AE5EE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916E01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D700195">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企业应当建立原材料进货验收制度，对采购的原材料进行检查、检验或者验证，确保满足要求后方可入库。</w:t>
            </w:r>
          </w:p>
          <w:p w14:paraId="44EFC96B">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（一）需要进行生物学评价的材料，采购的原材料应当与经生物学评价的材料相同</w:t>
            </w:r>
            <w:r>
              <w:rPr>
                <w:rFonts w:hint="eastAsia" w:ascii="Times New Roman" w:hAnsi="Times New Roman" w:eastAsia="仿宋_GB2312" w:cs="Times New Roman"/>
                <w:kern w:val="0"/>
                <w:sz w:val="22"/>
                <w:szCs w:val="22"/>
                <w:lang w:eastAsia="zh-CN" w:bidi="ar"/>
              </w:rPr>
              <w:t>；</w:t>
            </w:r>
          </w:p>
          <w:p w14:paraId="450E399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（二）对来源于动物的原材料应当满足产品质量控制要求。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C27C1E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F0E7A2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《规范》第六十五条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2.5.1、 2.5.2</w:t>
            </w:r>
          </w:p>
        </w:tc>
      </w:tr>
      <w:tr w14:paraId="7C88137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993C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38C4FD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553A94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E3380D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验收取样应当遵循抽样规则并在相应环境下进行。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C5279D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FE34DB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《规范》第六十五条</w:t>
            </w:r>
          </w:p>
        </w:tc>
      </w:tr>
      <w:tr w14:paraId="78CB51AF">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2F37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6C3F15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F96D8C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8.7.3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91034E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无菌医疗器械的初包装材料应当适用于所用的灭菌过程或无菌加工的包装要求，并执行相应法规和标准的规定，确保在包装、运输、贮存和使用时不会对产品造成污染。应当根据产品质量要求确定所采购初包装材料的初始污染菌和微粒污染可接受水平并形成文件，按照文件要求对采购的初包装材料进行进货检验并保持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BAE72E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2BE2AD6">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2.5.3</w:t>
            </w:r>
          </w:p>
        </w:tc>
      </w:tr>
      <w:tr w14:paraId="2E78A31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B00FB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C1DC49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56C803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EC8704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仓储管理制度，确保原材料、中间产品以及成品等能够正确贮存、发放、使用和运输，防止污染、交叉污染、混淆和差错。应当控制和记录贮存条件，贮存条件应当在标签或使用说明书中注明。相关活动应当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C2F132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8878BE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《规范》第六十六条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2.6.12</w:t>
            </w:r>
          </w:p>
        </w:tc>
      </w:tr>
      <w:tr w14:paraId="0CA4AAF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842A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29F502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86F95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2520DA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原材料的发放和使用一般应当遵循先进先出原则。</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C052F2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4B2A7B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《规范》第六十七条</w:t>
            </w:r>
          </w:p>
        </w:tc>
      </w:tr>
      <w:tr w14:paraId="63B867F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E3510">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AAC473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76A369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6FF5821">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超过贮存期的原材料应当进行复验，经评估符合规定后方可使用。超过有效期的原材料，应当按照不合格品处理。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0AAD98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2DC292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《规范》第六十七条</w:t>
            </w:r>
          </w:p>
        </w:tc>
      </w:tr>
      <w:tr w14:paraId="4330F9B8">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64AD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390624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DBFA76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AA1835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企业应当要求供应商提前告知关键原材料生产条件、规格型号、图样、生产工艺、质量标准和检验方法等发生的变更。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D14C27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9C3EE4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《规范》第六十八条</w:t>
            </w:r>
          </w:p>
        </w:tc>
      </w:tr>
      <w:tr w14:paraId="71E8C14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4220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DE7A4B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F595EB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8.10.2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AED296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企业应当评估变更对产品质量影响的范围和程度，必要时采取措施并对供应商进行现场审核。</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20AFFF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C74A99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《规范》第六十八条</w:t>
            </w:r>
          </w:p>
        </w:tc>
      </w:tr>
      <w:tr w14:paraId="22D12D9D">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47181B">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第九章</w:t>
            </w:r>
          </w:p>
          <w:p w14:paraId="3ACF1B5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验证与确认</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273B1A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18290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019A4D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企业应当基于风险评估确定验证或者确认的范围和程度，以证明相关设施设备、操作以及产品实现过程中的关键要素得到有效控制。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70A365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B8201F2">
            <w:pPr>
              <w:widowControl/>
              <w:spacing w:after="0" w:line="240" w:lineRule="auto"/>
              <w:jc w:val="center"/>
              <w:textAlignment w:val="center"/>
              <w:rPr>
                <w:rFonts w:hint="eastAsia" w:ascii="Times New Roman" w:hAnsi="Times New Roman" w:eastAsia="仿宋_GB2312" w:cs="Times New Roman"/>
                <w:kern w:val="0"/>
                <w:sz w:val="22"/>
                <w:szCs w:val="22"/>
                <w:lang w:eastAsia="zh-CN" w:bidi="ar"/>
              </w:rPr>
            </w:pPr>
            <w:r>
              <w:rPr>
                <w:rFonts w:hint="default" w:ascii="Times New Roman" w:hAnsi="Times New Roman" w:eastAsia="仿宋_GB2312" w:cs="Times New Roman"/>
                <w:kern w:val="0"/>
                <w:sz w:val="22"/>
                <w:szCs w:val="22"/>
                <w:lang w:bidi="ar"/>
              </w:rPr>
              <w:t>《规范》第六十九条</w:t>
            </w:r>
            <w:r>
              <w:rPr>
                <w:rFonts w:hint="eastAsia" w:ascii="Times New Roman" w:hAnsi="Times New Roman" w:eastAsia="仿宋_GB2312" w:cs="Times New Roman"/>
                <w:kern w:val="0"/>
                <w:sz w:val="22"/>
                <w:szCs w:val="22"/>
                <w:lang w:eastAsia="zh-CN" w:bidi="ar"/>
              </w:rPr>
              <w:t>，</w:t>
            </w:r>
          </w:p>
          <w:p w14:paraId="49283F8F">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2.6.9</w:t>
            </w:r>
          </w:p>
        </w:tc>
      </w:tr>
      <w:tr w14:paraId="6A95D8D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2A04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DC7C4A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38372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12E029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厂房、设施以及主要设备应当经过确认。企业应当采用经过验证或者确认的生产工艺、操作规程和检验方法进行生产和检验，确保在验证或者确认过的状态下开展相关活动。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539F95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D55AB7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《规范》第七十条</w:t>
            </w:r>
          </w:p>
        </w:tc>
      </w:tr>
      <w:tr w14:paraId="1EA585F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79BA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F6813A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652758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21DF6A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B99E58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77F4FF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《规范》第七十一条</w:t>
            </w:r>
          </w:p>
        </w:tc>
      </w:tr>
      <w:tr w14:paraId="3F301308">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9E30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893DED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970A57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9BF256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工艺验证或者确认应当证明生产过程按照规定的工艺参数能够持续生产出符合强制性标准、产品技术要求和预期用途的产品。</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EFDD22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45939E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《规范》第七十二条</w:t>
            </w:r>
          </w:p>
        </w:tc>
      </w:tr>
      <w:tr w14:paraId="3E8AFDC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964B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7AF7C5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AFDD1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091796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特殊过程应当经过确认，关键工序应当经过验证。无菌加工或灭菌过程应当按照相关标准要求在初次实施前进行确认，并形成确认报告、保留确认记录，必要时应当再确认。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FAF655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FA4926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《规范》第七十二条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2.6.9</w:t>
            </w:r>
          </w:p>
        </w:tc>
      </w:tr>
      <w:tr w14:paraId="76AFB47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D244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663309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B93E19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070000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企业应当结合产品特性、工艺特点以及设备设施使用情况等对清洁方法实施验证，证实其清洁效果，有效防止污染和交叉污染。</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FBA313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3CB2BD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《规范》第七十三条</w:t>
            </w:r>
          </w:p>
        </w:tc>
      </w:tr>
      <w:tr w14:paraId="2DF1427F">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9B5F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023A22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CD9DD0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02DAA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关键原材料、生产环境、生产工艺、主要生产和检验设备、检验方法等影响产品质量的主要因素发生变更时，企业应当进行验证或者确认。需要进行注册变更、备案变更或者生产事项变更报告的，企业应当按照相关要求完成。</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B45574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A0543D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《规范》第七十四条</w:t>
            </w:r>
          </w:p>
        </w:tc>
      </w:tr>
      <w:tr w14:paraId="008C20E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FF18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07543F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EF9A08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78D154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首次验证或者确认后，企业应当根据产品质量回顾分析情况对生产工艺、设备设施等进行再验证或者再确认，确保其能够达到预期结果。</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551AC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63E299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《规范》第七十五条</w:t>
            </w:r>
          </w:p>
        </w:tc>
      </w:tr>
      <w:tr w14:paraId="7B089EC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2187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73EC60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3FB5DF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0529FB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使用历史数据开展回顾性验证或者确认的，企业应当确保所使用数据适当且充分。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17475E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15CCA4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《规范》第七十五条</w:t>
            </w:r>
          </w:p>
        </w:tc>
      </w:tr>
      <w:tr w14:paraId="1E55CDCF">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DF19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28D89B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102FF1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0F72F0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企业应当制定验证或者确认计划，并根据验证或者确认对象制定方案。方案应当经过审核和批准，至少包括：验证或者确认对象、部门和人员职责、实施环境、方法、取样要求、接收准则等。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7E9CE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319E00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《规范》第七十六条</w:t>
            </w:r>
          </w:p>
        </w:tc>
      </w:tr>
      <w:tr w14:paraId="00751AB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30A2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ED1C5D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DBDB76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76A484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企业应当按照方案实施验证或者确认，形成报告并保留相关记录。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0B17AE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B24EFD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《规范》第七十六条</w:t>
            </w:r>
          </w:p>
        </w:tc>
      </w:tr>
      <w:tr w14:paraId="53C5684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F36C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38A806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8CE77F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9.9.1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B4CC84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547B26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E7A966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《规范》第七十七条</w:t>
            </w:r>
          </w:p>
        </w:tc>
      </w:tr>
      <w:tr w14:paraId="622F3E1F">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7BB9C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第十章生产管理</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C41351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04D056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44FD86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企业应当建立生产过程控制程序，明确操作人员、生产设备、原材料和中间产品、生产工艺和操作规程、生产环境、过程检验或者监控等要求，并按照要求组织生产。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FFDB1D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612F78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《规范》第七十八条</w:t>
            </w:r>
          </w:p>
        </w:tc>
      </w:tr>
      <w:tr w14:paraId="7C63318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8424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FE7CC2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515F8C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1A6C2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洁净室（区）的卫生管理文件，按照规定对洁净室（区）进行清洁处理和消毒，并保存记录。所用的消毒剂或消毒方法不得对设备、工装夹具、原材料和产品造成污染。消毒剂品种应当定期更换，防止产生耐药菌株。</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8564A2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8082091">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2.6.2</w:t>
            </w:r>
          </w:p>
        </w:tc>
      </w:tr>
      <w:tr w14:paraId="705504B2">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3C33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B99512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325FC2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679746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对人员的清洁要求，制定洁净室（区）工作人员卫生守则。人员进入洁净室（区）应当按照程序进行净化，并穿戴工作帽、口罩、洁净工作服、工作鞋。裸手接触产品的操作人员每隔一定时间应当对手再次进行消毒。裸手消毒剂的种类应当定期更换。</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34DC3E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0CC4331">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2.1.2</w:t>
            </w:r>
          </w:p>
        </w:tc>
      </w:tr>
      <w:tr w14:paraId="796E2B8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2DF4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24B062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968185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87539E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明确人员服装要求，制定洁净和无菌工作服的管理规定。工作服及其质量应当与生产操作的要求及操作区的洁净度级别相适应，其式样和穿着方式应当能够满足保护产品和人员的要求。洁净工作服和无菌工作服不得脱落纤维和颗粒性物质，无菌工作服应当能够包盖全部头发、胡须及脚部，并能阻留人体脱落物。</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EA5C63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E32E7E6">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2.1.4</w:t>
            </w:r>
          </w:p>
        </w:tc>
      </w:tr>
      <w:tr w14:paraId="7F1CA8E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0A069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82AAFE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B837E3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0025239">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企业应当在生产过程中对原材料、中间产品等进行有效管控。</w:t>
            </w:r>
          </w:p>
          <w:p w14:paraId="14662341">
            <w:pPr>
              <w:widowControl/>
              <w:spacing w:after="0" w:line="240" w:lineRule="auto"/>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（一）进入洁净室（区）的原材料和物品必须按程序进行净化处理</w:t>
            </w:r>
            <w:r>
              <w:rPr>
                <w:rFonts w:hint="eastAsia" w:ascii="Times New Roman" w:hAnsi="Times New Roman" w:eastAsia="仿宋_GB2312" w:cs="Times New Roman"/>
                <w:kern w:val="0"/>
                <w:sz w:val="22"/>
                <w:szCs w:val="22"/>
                <w:lang w:eastAsia="zh-CN" w:bidi="ar"/>
              </w:rPr>
              <w:t>；</w:t>
            </w:r>
          </w:p>
          <w:p w14:paraId="4FECB5A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（二）需要清洁处理的，应明确清洁方法和要求，对清洁效果进行验证，末道清洁处理应当在相应级别的洁净室（区）内进行，末道清洁处理介质应当满足产品质量的要求。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05F77B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684DA7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《规范》第七十九条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2.6.5</w:t>
            </w:r>
          </w:p>
        </w:tc>
      </w:tr>
      <w:tr w14:paraId="44EF158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5F7D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E35211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F116C3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579BA4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企业应当根据产品质量要求确定产品的初始污染菌和微粒污染的控制水平并形成文件，明确中间产品的存储环境要求和存放时间。</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BB20B5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DDC5DFF">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2.7.4</w:t>
            </w:r>
          </w:p>
        </w:tc>
      </w:tr>
      <w:tr w14:paraId="76761F17">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FFE7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8A0CC3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32AD9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D07704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工位器具的管理文件，所选用的工位器具应当能避免产品在存放和搬运中被污染和损坏。生产设备所用的润滑剂、冷却剂、清洗剂及在洁净室（区）内通过模具成型后不需清洁处理的零配件所用的脱模剂，均不得对产品造成污染。</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0F9AC4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3A1D78D">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2.6.4、2.6.3</w:t>
            </w:r>
          </w:p>
        </w:tc>
      </w:tr>
      <w:tr w14:paraId="21CA034F">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4838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79AC33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8322B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67D973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企业应当根据产品和生产工艺特点对环境进行监测和控制，并保留记录。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2FC532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9BD662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《规范》第八十条</w:t>
            </w:r>
          </w:p>
        </w:tc>
      </w:tr>
      <w:tr w14:paraId="59903195">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B80B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1CF542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207EE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252E6E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企业应当建立批号管理规定，明确生产批号和灭菌批号的关系，每批（台）产品均应当有生产记录，并满足追溯要求。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A2F603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949EB3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《规范》第八十一条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2.6.7</w:t>
            </w:r>
          </w:p>
        </w:tc>
      </w:tr>
      <w:tr w14:paraId="65056F03">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CA150">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03F344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383655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8B182E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记录至少包括产品名称、规格型号、生产批号或者产品编号（医疗器械唯一标识）、生产日期、数量、关键原材料编号/批号/序列号、中间产品批号、主要设备、工艺参数、操作人员等内容，并体现物料平衡或者记录关键原材料使用情况。</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7F084F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0CF923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《规范》第八十一条</w:t>
            </w:r>
          </w:p>
        </w:tc>
      </w:tr>
      <w:tr w14:paraId="3B30454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9574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1D4C34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35519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B3A66FC">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企业应当制定灭菌过程控制文件，保持每一灭菌批的灭菌过程参数记录，灭菌记录应当可追溯到产品的每一生产批。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3861DA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AC65FEF">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2.6.10</w:t>
            </w:r>
          </w:p>
        </w:tc>
      </w:tr>
      <w:tr w14:paraId="3793C6AF">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232A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C2263D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56245E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10.4.4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5B7D25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对直接或间接接触心血管系统、淋巴系统或脑脊髓液或药液的零配件应当至少能追溯到产品生产所用的原材料、灭菌设备和生产环境。</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52A8C5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0C39EC0">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2.6.11</w:t>
            </w:r>
          </w:p>
        </w:tc>
      </w:tr>
      <w:tr w14:paraId="7A0BBE03">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E987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2832AE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0FAC1C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A1C4E9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企业应当根据产品特性检查实际产量和关键原材料实际用量间的物料平衡，确保符合设定限度要求。如有偏差，企业应当查明原因，确认无潜在质量风险后，方可按照正常产品处理。</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A47993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79AC6C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《规范》第八十二条</w:t>
            </w:r>
          </w:p>
        </w:tc>
      </w:tr>
      <w:tr w14:paraId="1C0CDD02">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B39F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99B101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6A3E33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14D009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企业应当建立产品标识控制程序，采用适宜方法对产品进行标识，防止混淆、差错以及不合格中间产品流入下道工序。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9CD49E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E8A803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《规范》第八十三条</w:t>
            </w:r>
          </w:p>
        </w:tc>
      </w:tr>
      <w:tr w14:paraId="7FEAAFD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09FE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3F3091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BDFC85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9CCAF1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产品说明书、标签应当符合相关法律、法规、规章以及标准要求并进行有效管控。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E3E56B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B4CAA3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《规范》第八十四条</w:t>
            </w:r>
          </w:p>
        </w:tc>
      </w:tr>
      <w:tr w14:paraId="50215C2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EBCA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1B722C0">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2397F3">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1D74553">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企业应当建立产品防护程序，规定产品及其组成部分的防护要求，包括污染防护、静电防护、粉尘防护、腐蚀防护、射线防护</w:t>
            </w:r>
            <w:r>
              <w:rPr>
                <w:rFonts w:hint="default" w:ascii="Times New Roman" w:hAnsi="Times New Roman" w:eastAsia="仿宋_GB2312" w:cs="Times New Roman"/>
                <w:b/>
                <w:bCs/>
                <w:kern w:val="0"/>
                <w:sz w:val="22"/>
                <w:szCs w:val="22"/>
                <w:lang w:bidi="ar"/>
              </w:rPr>
              <w:t>、</w:t>
            </w:r>
            <w:r>
              <w:rPr>
                <w:rFonts w:hint="default" w:ascii="Times New Roman" w:hAnsi="Times New Roman" w:eastAsia="仿宋_GB2312" w:cs="Times New Roman"/>
                <w:kern w:val="0"/>
                <w:sz w:val="22"/>
                <w:szCs w:val="22"/>
                <w:lang w:bidi="ar"/>
              </w:rPr>
              <w:t>运输防护和网络安全防护等。防护措施包括但不限于包装、标识、防护罩以及特殊的搬运和贮存要求等。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89AD1E7">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4654336">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《规范》第八十五条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2.6.1</w:t>
            </w:r>
          </w:p>
        </w:tc>
      </w:tr>
      <w:tr w14:paraId="2A6BBDB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C783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5374BCE">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93223B0">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8F7721F">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企业应当结合产品特性和生产实际建立清场管理制度，防止生产涉及的原材料、中间产品和成品污染与混用、相关文件差错使用。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97C5825">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491FE2C">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《规范》第八十六条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2.6.6</w:t>
            </w:r>
          </w:p>
        </w:tc>
      </w:tr>
      <w:tr w14:paraId="5C416A8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E64A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65D17B2">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E916870">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9B2A4DE">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生产开始前，企业应当对前次清场情况进行确认。清场记录和确认应当纳入批生产记录。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EEE04C3">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7725EB">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《规范》第八十六条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2.6.6</w:t>
            </w:r>
          </w:p>
        </w:tc>
      </w:tr>
      <w:tr w14:paraId="4D18E61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CA207">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C92FD8F">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473DFB7">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939CE53">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BA2C437">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F430F46">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《规范》第八十七条</w:t>
            </w:r>
          </w:p>
        </w:tc>
      </w:tr>
      <w:tr w14:paraId="51550833">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0B22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63C5D55">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F68CE11">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920E2B6">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企业应当建立不合格品控制程序，对生产过程中的不合格原材料、中间产品和成品等进行及时有效的标识、记录、隔离并开展评审。</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D2F681F">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3018071">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《规范》第八十八条</w:t>
            </w:r>
          </w:p>
        </w:tc>
      </w:tr>
      <w:tr w14:paraId="23D5639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D13F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E94EB18">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A80D2D3">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4BC65C5">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返工和降级使用应当符合相关法规规定以及顾客要求。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90A2898">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EB57EEA">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《规范》第八十八条</w:t>
            </w:r>
          </w:p>
        </w:tc>
      </w:tr>
      <w:tr w14:paraId="7A1EBDB3">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D550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2A18A39">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1DFDE99">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9CA1F6C">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不合格品进行返工的，企业应当建立返工控制程序，包括作业指导书、重新检验和重新验证要求等。应当对返工带来的风险进行评估。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1F541D5">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8A4A29A">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《规范》第八十九条</w:t>
            </w:r>
          </w:p>
        </w:tc>
      </w:tr>
      <w:tr w14:paraId="7BE4CF5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7850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57ED820">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CDBEB8">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0705004">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企业应当建立产品追溯程序，规定产品追溯范围、程度、标识和必要的记录，包括原材料编号、批号或者序列号管理、医疗器械唯一标识等。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5B627CC">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9534734">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《规范》第九十条</w:t>
            </w:r>
          </w:p>
        </w:tc>
      </w:tr>
      <w:tr w14:paraId="5E7E136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9063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2C9F5A7">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D4960C4">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8D8439D">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企业应当按照国家实施医疗器械唯一标识有关要求开展赋码、数据上传和维护更新，保证信息真实、准确、完整和可追溯。</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A44145">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C622C7E">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《规范》第九十一条</w:t>
            </w:r>
          </w:p>
        </w:tc>
      </w:tr>
      <w:tr w14:paraId="6F28F272">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3AF7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4E40539">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7B61337">
            <w:pPr>
              <w:widowControl/>
              <w:spacing w:after="0" w:line="30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8A8AE38">
            <w:pPr>
              <w:widowControl/>
              <w:spacing w:after="0" w:line="30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共用生产车间、生产线或者生产设备的，企业应当基于产品质量风险管理原则，建立相应管理制度，防止可能产生的原材料、中间产品或者成品混淆、交叉污染、工艺参数误用等风险。</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5A9BEF5">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FA62BD0">
            <w:pPr>
              <w:widowControl/>
              <w:spacing w:after="0" w:line="30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《规范》第九十二条</w:t>
            </w:r>
          </w:p>
        </w:tc>
      </w:tr>
      <w:tr w14:paraId="172FF1D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C5BA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5915ED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65B923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B13CFA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开展连续生产的，企业应当规定最大批次数量或者最长生产时间，并验证连续生产对环境和设备等的影响。</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7EBEA5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81B6B5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《规范》第九十三条</w:t>
            </w:r>
          </w:p>
        </w:tc>
      </w:tr>
      <w:tr w14:paraId="1A5EA74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FE57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A82A09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5D089B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5298E8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达到最大批次数量或者最长生产时间后，企业应当进行相应的清洁、维护。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B9938A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90DDC6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《规范》第九十三条</w:t>
            </w:r>
          </w:p>
        </w:tc>
      </w:tr>
      <w:tr w14:paraId="6D06565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F52C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491213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22689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10.17.1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1C09EF1">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停产后重新生产的，企业应当制定相应规程，明确对生产环境、生产设备、供应商、工艺用水、工艺用气和空调净化系统等的评估要求，必要时开展验证或者确认。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19EAE5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148950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《规范》第九十四条</w:t>
            </w:r>
          </w:p>
        </w:tc>
      </w:tr>
      <w:tr w14:paraId="36657BE7">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BFE9D8">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第十一章</w:t>
            </w:r>
          </w:p>
          <w:p w14:paraId="5D12B2F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质量控制与产品放行</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3E3CE2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3211FC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93B9E3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质量控制程序，明确产品质量管理组织机构、检验人员、检验操作规程以及取样、检验设备、产品放行以及留样等要求，确保原材料或者成品在放行前完成必要的检验，质量符合要求。应当具备无菌、微生物限度和阳性对照的检测能力和条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430965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3DBE51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《规范》第九十五条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2.7.1</w:t>
            </w:r>
          </w:p>
        </w:tc>
      </w:tr>
      <w:tr w14:paraId="3397B28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DD16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EEE6F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0A2942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841C8C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检验人员教育背景、技术能力和数量应当与产品检验检测工作相匹配，经过与所从事检验检测操作相关的实践培训并考核合格后上岗。</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41AB35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BC7852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《规范》第九十六条</w:t>
            </w:r>
          </w:p>
        </w:tc>
      </w:tr>
      <w:tr w14:paraId="7FDF63C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7653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217A4B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946178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0109B4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企业应当依据法律、法规、规章、强制性标准以及经注册或者备案的产品技术要求，基于风险管理原则和产品质量保证能力等，制定进货检验规程、过程检验规程和成品检验规程等文件。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6A404F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C67D49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《规范》第九十七条</w:t>
            </w:r>
          </w:p>
        </w:tc>
      </w:tr>
      <w:tr w14:paraId="056E495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0303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C68685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B863C9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6FECD24">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检验规程应当覆盖产品技术要求载明的性能指标，不能覆盖的应当予以说明，必要时给出经确认的替代解决方案。</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8BC9C5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1D8ACF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《规范》第九十七条</w:t>
            </w:r>
          </w:p>
        </w:tc>
      </w:tr>
      <w:tr w14:paraId="7B7E10E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0BF3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A7F7FF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739A79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11.3.3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AE0C6ED">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企业应当按要求检测产品初始污染菌和微粒并保持相关记录，应当定期对检测记录进行汇总和趋势分析。</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69ABF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16AB125">
            <w:pPr>
              <w:widowControl/>
              <w:spacing w:after="0" w:line="240" w:lineRule="auto"/>
              <w:jc w:val="center"/>
              <w:textAlignment w:val="center"/>
              <w:rPr>
                <w:rFonts w:hint="default" w:ascii="Times New Roman" w:hAnsi="Times New Roman" w:eastAsia="仿宋_GB2312" w:cs="Times New Roman"/>
                <w:sz w:val="22"/>
                <w:szCs w:val="22"/>
              </w:rPr>
            </w:pP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2.7.4</w:t>
            </w:r>
          </w:p>
        </w:tc>
      </w:tr>
      <w:tr w14:paraId="6CEE3F9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CD76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D9F1DB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159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942262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A274D6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检验方法应当与产品的性能指标相适应。</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D9BE4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BB7055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《规范》第九十八条</w:t>
            </w:r>
          </w:p>
        </w:tc>
      </w:tr>
      <w:tr w14:paraId="2E641BC5">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30B0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2DCCFA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E04DD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C20C649">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对检验工作所需的标准品（参考品）、菌种、培养基以及其他辅助用品，企业应当根据其控制特点制定管理文件，确保满足检验要求。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D15B28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5789DF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《规范》第九十八条</w:t>
            </w:r>
          </w:p>
        </w:tc>
      </w:tr>
      <w:tr w14:paraId="18E9EE0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221E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0E1AC1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D034AC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A8461F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企业应当建立检验样品管理规程，明确取样方法、取样量、标识、存放条件等要求，确保取样、分发、接收、存放、返回或者报废等过程受控。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09EC6A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A38CA8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《规范》第九十九条</w:t>
            </w:r>
          </w:p>
        </w:tc>
      </w:tr>
      <w:tr w14:paraId="7D65872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DD85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5B1AC36">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D6EAF30">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0F29F0D">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企业应当按照检验规程开展检验检测活动。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81BB147">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F6389B5">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《规范》第一百条</w:t>
            </w:r>
          </w:p>
        </w:tc>
      </w:tr>
      <w:tr w14:paraId="04F9A80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0CA50">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FEC31CB">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271022">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3320AA9">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每批（台）产品均应当有检验记录，并满足追溯要求。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FCE9C23">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A77EFBF">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《规范》第一百条</w:t>
            </w:r>
          </w:p>
        </w:tc>
      </w:tr>
      <w:tr w14:paraId="3A90947A">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A185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F09C6A6">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089035">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11.6.3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C8B19A2">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检验记录应当包括进货检验、过程检验和成品检验记录、报告或者证书，内容至少包括产品或者原材料信息、检验项目、检验设备、检验结果、检验日期、检验人员、复核人员等。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535AB17">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CB8DD32">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《规范》第一百条</w:t>
            </w:r>
          </w:p>
        </w:tc>
      </w:tr>
      <w:tr w14:paraId="33E2159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14D3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65B7450">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86433C0">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AD2D430">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检验设备管理至少包括下列内容：</w:t>
            </w:r>
          </w:p>
          <w:p w14:paraId="38230EE5">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（一）检验设备经过校准或者检定，结果经过确认；</w:t>
            </w:r>
          </w:p>
          <w:p w14:paraId="49822097">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（二）明确检验设备搬运、储存、维护和维修等要求；</w:t>
            </w:r>
          </w:p>
          <w:p w14:paraId="02C34525">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（三）检验设备不符合要求时，应当立即停止使用，并对以往检验结果进行评价。必要时，采取相应措施并保留记录。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3C57C92">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630E566">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《规范》第一百零一条</w:t>
            </w:r>
          </w:p>
        </w:tc>
      </w:tr>
      <w:tr w14:paraId="10CCEB7C">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9BD8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604A921">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0C5968">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CD793FF">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企业应当结合产品检验要求对检验环境进行规定、监测和控制，并保留记录。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F0840DB">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045D3C9">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《规范》第一百零二条</w:t>
            </w:r>
          </w:p>
        </w:tc>
      </w:tr>
      <w:tr w14:paraId="416D72B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8C3F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8C8EAB6">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4BE3792">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D0C3EA6">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开展特殊专业检验的实验室，环境设施条件应当符合特定专业要求。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D2402BA">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60EB7BF">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《规范》第一百零二条</w:t>
            </w:r>
          </w:p>
        </w:tc>
      </w:tr>
      <w:tr w14:paraId="52303ED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CA34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5443471">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CE59F0E">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D6CC4B6">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企业应当根据产品特性制定检验结果不合格调查处理规程。</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73EE22F">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E6832BD">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《规范》第一百零三条</w:t>
            </w:r>
          </w:p>
        </w:tc>
      </w:tr>
      <w:tr w14:paraId="1D95E28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E42FC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DE00C17">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169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9D3B7E9">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F7070B5">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任何检验不合格均应当进行调查处理，并保留记录。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5B74758">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FD81448">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《规范》第一百零三条</w:t>
            </w:r>
          </w:p>
        </w:tc>
      </w:tr>
      <w:tr w14:paraId="0E25925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5234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DD90FCD">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2820DA9">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11.9.3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F87FA04">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对检验过程偏差造成的不合格，可以进行复检。</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2B5E6E">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549BF43">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《规范》第一百零三条</w:t>
            </w:r>
          </w:p>
        </w:tc>
      </w:tr>
      <w:tr w14:paraId="1219720C">
        <w:tblPrEx>
          <w:tblCellMar>
            <w:top w:w="0" w:type="dxa"/>
            <w:left w:w="108" w:type="dxa"/>
            <w:bottom w:w="0" w:type="dxa"/>
            <w:right w:w="108"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93A2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4FCC426">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2B4557E">
            <w:pPr>
              <w:widowControl/>
              <w:spacing w:after="0" w:line="308"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AFE6F4">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企业应当建立产品放行工作程序，明确产品放行条件、审核和批准要求等，确认产品至少符合下列条件后，经授权的放行人员按照规定签发产品放行单：</w:t>
            </w:r>
          </w:p>
          <w:p w14:paraId="4D5CBB16">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（一）完成所有规定的工艺流程；</w:t>
            </w:r>
          </w:p>
          <w:p w14:paraId="3942C5F1">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（二）批生产记录完整齐全；</w:t>
            </w:r>
          </w:p>
          <w:p w14:paraId="5BC79E5E">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（三）质量控制记录完整齐全，结果符合规定要求，已按照规定签发记录；</w:t>
            </w:r>
          </w:p>
          <w:p w14:paraId="1778BA33">
            <w:pPr>
              <w:widowControl/>
              <w:spacing w:after="0" w:line="308" w:lineRule="exact"/>
              <w:jc w:val="left"/>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（四）产品生产过程中出现的不合格、返工、返修、降级使用、紧急放行等特殊情况已经按照规定处理完毕；</w:t>
            </w:r>
          </w:p>
          <w:p w14:paraId="2A7AB345">
            <w:pPr>
              <w:widowControl/>
              <w:spacing w:after="0" w:line="308"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（五）产品说明书、标签及其版本、医疗器械唯一标识赋码符合规定要求。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B2F3363">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496D69F">
            <w:pPr>
              <w:widowControl/>
              <w:spacing w:after="0" w:line="308"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《规范》第一百零四条</w:t>
            </w:r>
          </w:p>
        </w:tc>
      </w:tr>
      <w:tr w14:paraId="615CA17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21C4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A50681D">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4F1BF1">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FEA83D2">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完成放行的产品应当附有合格证明文件，合格证明文件可以是产品检验报告、放行单、合格标识或者合格证等。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0EEF0AC">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02A2ACF">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《规范》第一百零四条</w:t>
            </w:r>
          </w:p>
        </w:tc>
      </w:tr>
      <w:tr w14:paraId="0E83B73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BA23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0192E24">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2F3788D">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11.10.3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288F790">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委托生产的，产品放行包括生产放行和上市放行。医疗器械注册人、备案人负责上市放行，受托生产企业负责生产放行。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A59A75">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639644A">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《规范》第一百零四条</w:t>
            </w:r>
          </w:p>
        </w:tc>
      </w:tr>
      <w:tr w14:paraId="4F3ED46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E64FB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219E246">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A7EB24">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E65704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企业应当根据产品和工艺特点制定留样管理规程，根据产品留样目的确定留样数量和留样方式，按照生产批或灭菌批等进行留样，并保存留样观察记录或留样检验记录。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176B476">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E90B81">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《规范》第一百零五条</w:t>
            </w:r>
            <w:r>
              <w:rPr>
                <w:rFonts w:hint="eastAsia" w:ascii="Times New Roman" w:hAnsi="Times New Roman" w:eastAsia="仿宋_GB2312" w:cs="Times New Roman"/>
                <w:kern w:val="0"/>
                <w:sz w:val="22"/>
                <w:szCs w:val="22"/>
                <w:lang w:eastAsia="zh-CN" w:bidi="ar"/>
              </w:rPr>
              <w:t>，</w:t>
            </w:r>
            <w:r>
              <w:rPr>
                <w:rFonts w:ascii="Times New Roman" w:hAnsi="Times New Roman" w:eastAsia="仿宋_GB2312" w:cs="Times New Roman"/>
                <w:kern w:val="0"/>
                <w:sz w:val="22"/>
                <w:szCs w:val="22"/>
                <w:lang w:val="en" w:bidi="ar"/>
              </w:rPr>
              <w:t>《无菌附录》</w:t>
            </w:r>
            <w:r>
              <w:rPr>
                <w:rFonts w:hint="default" w:ascii="Times New Roman" w:hAnsi="Times New Roman" w:eastAsia="仿宋_GB2312" w:cs="Times New Roman"/>
                <w:kern w:val="0"/>
                <w:sz w:val="22"/>
                <w:szCs w:val="22"/>
                <w:lang w:bidi="ar"/>
              </w:rPr>
              <w:t>2.7.5</w:t>
            </w:r>
          </w:p>
        </w:tc>
      </w:tr>
      <w:tr w14:paraId="54CEB4F8">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F003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3784DE5">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569BC2A">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3C5C85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需要常规控制的进货检验、过程检验和成品检验项目一般不得进行委托检验。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37A2123">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CBDA685">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184991A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A928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67C3F98">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D8434B4">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4EB912E">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对于检验条件和设备要求较高，确需委托检验的项目，可以委托具有资质的机构进行检验。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24AEF10">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E09CCA">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50EA0C5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325D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0A2DA0D">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587CF83">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FF2ED53">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委托检验的，企业应当与受托检验机构签订质量协议，明确规定双方责任和委托检验要求。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C71D6A1">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3A484CC">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2670324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C185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32FA3C9">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EB9414">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11.12.4</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8E3583D">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委托方应当对受托检验机构的检验能力开展评价，并对委托检验结果进行确认。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0A64980">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D33E9BB">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《规范》第一百零六条</w:t>
            </w:r>
          </w:p>
        </w:tc>
      </w:tr>
      <w:tr w14:paraId="14936203">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E3806C">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第十二章</w:t>
            </w:r>
          </w:p>
          <w:p w14:paraId="273BCB4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委托生产与外协加工</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41EC262">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179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EFC7EEC">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95B95D6">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委托生产医疗器械的，委托方质量管理体系应当覆盖医疗器械全生命周期。受托生产企业质量管理体系应当包括与受托生产活动相关内容。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1DD6BFB">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3DFADF0">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《规范》第一百零七条</w:t>
            </w:r>
          </w:p>
        </w:tc>
      </w:tr>
      <w:tr w14:paraId="4474ADA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1341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87B6C5B">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9E77851">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C76E793">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委托双方应当建立有效沟通机制，确保质量管理体系有效衔接与运行。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E619CC8">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1B74878">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《规范》第一百零七条</w:t>
            </w:r>
          </w:p>
        </w:tc>
      </w:tr>
      <w:tr w14:paraId="3A96FD6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9FBB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0238670">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AE16FE7">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FAE350A">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委托方与受托方应当签订质量协议，明确双方在产品生产全过程中各自的权利、义务和责任。委托方不得通过协议转移依法应当由其履行的义务和责任。</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94B6D6">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A3399B5">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《规范》第一百零八条</w:t>
            </w:r>
          </w:p>
        </w:tc>
      </w:tr>
      <w:tr w14:paraId="5C2840A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4458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92F69A2">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0D39541">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6BD73E8">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生产前，委托方应当对受托方生产能力、质量保证能力和风险管理能力进行现场评估，确认其具备受托生产能力，并能持续符合本规范要求；委托生产期间，应当定期对受托方质量管理体系进行现场审核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9FC8DB9">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0B017CC">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《规范》第一百零九条</w:t>
            </w:r>
          </w:p>
        </w:tc>
      </w:tr>
      <w:tr w14:paraId="410A2BB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BFBCA">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4737980">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653DFC9">
            <w:pPr>
              <w:widowControl/>
              <w:spacing w:after="0" w:line="320" w:lineRule="exact"/>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B98B95C">
            <w:pPr>
              <w:widowControl/>
              <w:spacing w:after="0" w:line="320" w:lineRule="exact"/>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受托方应当接受委托方的审核和监督，并及时采取纠正预防措施落实其整改要求。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3ABD77E">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36BE2C7">
            <w:pPr>
              <w:widowControl/>
              <w:spacing w:after="0" w:line="320" w:lineRule="exact"/>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《规范》第一百零九条</w:t>
            </w:r>
          </w:p>
        </w:tc>
      </w:tr>
      <w:tr w14:paraId="5D4E057E">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8F35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D05696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F59F5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98CE43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委托方应当设置相应的质量管理机构，配备足够数量和能力的专职质量管理人员，以及熟悉产品、具有相应专业知识的技术人员，对委托生产活动进行有效监测和控制。</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B69A81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A206A7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《规范》第一百一十条</w:t>
            </w:r>
          </w:p>
        </w:tc>
      </w:tr>
      <w:tr w14:paraId="14D8596F">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FCCC0">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646C7D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560E80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B9B5BD6">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受托方的管理者代表、生产管理部门负责人、质量管理部门负责人、放行审核人等关键岗位人员应当熟悉受托生产产品生产和质量管理情况。</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74AE7B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19D3DE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《规范》第一百一十条</w:t>
            </w:r>
          </w:p>
        </w:tc>
      </w:tr>
      <w:tr w14:paraId="7B0443F4">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21A1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5EA506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4B6130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46B9A2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委托方应当与受托方共同策划完成生产转换活动，确保产品技术要求、原材料和生产工艺要求以及说明书和标签等有效转移到受托方。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3BC438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B1EA76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《规范》第一百一十一条</w:t>
            </w:r>
          </w:p>
        </w:tc>
      </w:tr>
      <w:tr w14:paraId="7E1F64D2">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3C3CF">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19ADC6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779D4A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DA2F64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受托方应当开展试生产以及相应验证与确认活动，试生产应当包括所转移的全部生产和质量控制过程。</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B4D77D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BDF774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《规范》第一百一十一条</w:t>
            </w:r>
          </w:p>
        </w:tc>
      </w:tr>
      <w:tr w14:paraId="366A70C3">
        <w:tblPrEx>
          <w:tblCellMar>
            <w:top w:w="0" w:type="dxa"/>
            <w:left w:w="108" w:type="dxa"/>
            <w:bottom w:w="0" w:type="dxa"/>
            <w:right w:w="108" w:type="dxa"/>
          </w:tblCellMar>
        </w:tblPrEx>
        <w:trPr>
          <w:cantSplit/>
          <w:trHeight w:val="1644"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F289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E26DF5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E597E6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950370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委托方设计变更、采购变更等应当及时通知受托方，并监督其执行变更要求；应当采取有效措施，确保及时获知受托方发生的可能影响产品质量的变更，并与受托方开展联合评估。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ECB14A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063CFF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《规范》第一百一十二条</w:t>
            </w:r>
          </w:p>
        </w:tc>
      </w:tr>
      <w:tr w14:paraId="03CBB62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022D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DAA0B1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189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C99C1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12.6.2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B09332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受托方应当落实委托方的变更要求，并结合生产质量管理情况向委托方反馈变更需求。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0D585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B3DC1B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《规范》第一百一十二条</w:t>
            </w:r>
          </w:p>
        </w:tc>
      </w:tr>
      <w:tr w14:paraId="31C5ED27">
        <w:tblPrEx>
          <w:tblCellMar>
            <w:top w:w="0" w:type="dxa"/>
            <w:left w:w="108" w:type="dxa"/>
            <w:bottom w:w="0" w:type="dxa"/>
            <w:right w:w="108" w:type="dxa"/>
          </w:tblCellMar>
        </w:tblPrEx>
        <w:trPr>
          <w:cantSplit/>
          <w:trHeight w:val="1984"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CD56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9D2EFC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ACC312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AFB7D8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2371AF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692E8F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《规范》第一百一十三条</w:t>
            </w:r>
          </w:p>
        </w:tc>
      </w:tr>
      <w:tr w14:paraId="71087174">
        <w:tblPrEx>
          <w:tblCellMar>
            <w:top w:w="0" w:type="dxa"/>
            <w:left w:w="108" w:type="dxa"/>
            <w:bottom w:w="0" w:type="dxa"/>
            <w:right w:w="108" w:type="dxa"/>
          </w:tblCellMar>
        </w:tblPrEx>
        <w:trPr>
          <w:cantSplit/>
          <w:trHeight w:val="1361"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2A88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B2DA36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D71700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12.7.2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0A5F7F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受托方应当建立生产放行规程，明确生产放行标准、条件，对医疗器械生产过程记录和质量控制记录进行审核，符合标准、条件的，经授权的放行人员签字后方可出厂。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9E47778">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59117E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《规范》第一百一十三条</w:t>
            </w:r>
          </w:p>
        </w:tc>
      </w:tr>
      <w:tr w14:paraId="3C0F122E">
        <w:tblPrEx>
          <w:tblCellMar>
            <w:top w:w="0" w:type="dxa"/>
            <w:left w:w="108" w:type="dxa"/>
            <w:bottom w:w="0" w:type="dxa"/>
            <w:right w:w="108" w:type="dxa"/>
          </w:tblCellMar>
        </w:tblPrEx>
        <w:trPr>
          <w:cantSplit/>
          <w:trHeight w:val="1020" w:hRule="atLeas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42B9D">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179B08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9F5810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01C6B5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受托方应当及时向委托方报告生产过程中出现的可能影响产品质量的偏差、变更、异常情况，并保留处理记录。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C98BB7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132520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《规范》第一百一十四条</w:t>
            </w:r>
          </w:p>
        </w:tc>
      </w:tr>
      <w:tr w14:paraId="15D8C41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904A8">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F1C1FF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8377C7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2C7089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产品实现过程中涉及外协加工的，企业应当建立外协加工控制程序，对外协加工过程实施控制，确保满足相关法律法规要求。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4480AC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027CCD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《规范》第一百一十五条</w:t>
            </w:r>
          </w:p>
        </w:tc>
      </w:tr>
      <w:tr w14:paraId="750FAEB5">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5675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CA2D92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58B26C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12.10.1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347E6C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企业至少应当将外协加工方作为供应商进行管理，对外协加工方加工能力、质量保证能力、风险管理能力等进行评估。</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CF97D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E974B3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《规范》第一百一十六条</w:t>
            </w:r>
          </w:p>
        </w:tc>
      </w:tr>
      <w:tr w14:paraId="240C3BC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05393">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8D96CF6">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5884D0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12.10.2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DA73D4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双方应当签订外协加工质量协议，明确外协加工的内容、质量标准或者技术要求、验收准则和双方责任，以及相关工艺、验证与确认、放行条件、变更和沟通机制等要求。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E607D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24697C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《规范》第一百一十六条</w:t>
            </w:r>
          </w:p>
        </w:tc>
      </w:tr>
      <w:tr w14:paraId="79E01B92">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0C74BC">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第十三章</w:t>
            </w:r>
          </w:p>
          <w:p w14:paraId="6E72474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销售与售后服务</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A0F43C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0F1C5E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8F9B7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产品销售与售后服务等活动应当符合医疗器械相关法律、法规、规章和规范要求。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2EDA0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74C963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《规范》第一百一十七条</w:t>
            </w:r>
          </w:p>
        </w:tc>
      </w:tr>
      <w:tr w14:paraId="43F0ADF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AACD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D00FF6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1EC04D0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D8BDE8E">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企业应当保留产品销售记录，并满足追溯要求。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B8086D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26D718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《规范》第一百一十七条</w:t>
            </w:r>
          </w:p>
        </w:tc>
      </w:tr>
      <w:tr w14:paraId="2FEA5A4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469D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4DD67E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FF375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13.1.3</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F8612C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销售记录至少包括医疗器械名称、规格、型号、数量、生产批号或者产品编号（序列号）、医疗器械唯一标识、使用期限（预期使用期限）或者失效日期、销售日期、购货单位名称、地址、联系方式。</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21F3A6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0A7402D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《规范》第一百一十七条</w:t>
            </w:r>
          </w:p>
        </w:tc>
      </w:tr>
      <w:tr w14:paraId="435AA074">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3FFF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38833D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199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61D09A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30B1D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企业应当采用经验证或者确认的运输条件和工具运输产品并做好产品防护。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CB513A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AAEFA7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《规范》第一百一十八条</w:t>
            </w:r>
          </w:p>
        </w:tc>
      </w:tr>
      <w:tr w14:paraId="3C7C3CE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338BE">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3DB7F8BE">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AA42F2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13.2.2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515E17E8">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对有特殊要求的，企业应当对运输过程实施监控。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7164C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AD5B211">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《规范》第一百一十八条</w:t>
            </w:r>
          </w:p>
        </w:tc>
      </w:tr>
      <w:tr w14:paraId="6F2D93F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FB6E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9161BA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74FB1A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A70D0C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企业应当具备与所生产产品相适应的售后服务能力，建立健全售后服务制度。</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C6A54C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D80036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《规范》第一百一十九条</w:t>
            </w:r>
          </w:p>
        </w:tc>
      </w:tr>
      <w:tr w14:paraId="2EDEB8B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CBF24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4BCA53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1D89AB7">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13.3.2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46DB44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企业应当规定售后服务要求，保留售后服务记录，并满足追溯要求。</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6045D4D">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5EBD5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《规范》第一百一十九条</w:t>
            </w:r>
          </w:p>
        </w:tc>
      </w:tr>
      <w:tr w14:paraId="0573D29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23D1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931BF6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BAE0B5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2740C9F">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需要由企业安装的医疗器械，企业应当确定安装要求和安装验证接收标准，并保留安装和验收记录。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6EDEA9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23FC30C">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《规范》第一百二十条</w:t>
            </w:r>
          </w:p>
        </w:tc>
      </w:tr>
      <w:tr w14:paraId="60FFCDC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6B3C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BDF764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4E8454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13.4.2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7EEFC72">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由使用单位或者其他企业进行安装、维修的，企业应当提供安装要求、标准和维修零部件、资料、密码等，并进行指导。</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055B73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4D84CB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《规范》第一百二十条</w:t>
            </w:r>
          </w:p>
        </w:tc>
      </w:tr>
      <w:tr w14:paraId="71105CE2">
        <w:tblPrEx>
          <w:tblCellMar>
            <w:top w:w="0" w:type="dxa"/>
            <w:left w:w="108" w:type="dxa"/>
            <w:bottom w:w="0" w:type="dxa"/>
            <w:right w:w="108" w:type="dxa"/>
          </w:tblCellMar>
        </w:tblPrEx>
        <w:trPr>
          <w:cantSplit/>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B4D3B8">
            <w:pPr>
              <w:widowControl/>
              <w:spacing w:after="0" w:line="240" w:lineRule="auto"/>
              <w:jc w:val="center"/>
              <w:textAlignment w:val="center"/>
              <w:rPr>
                <w:rFonts w:hint="default" w:ascii="Times New Roman" w:hAnsi="Times New Roman" w:eastAsia="仿宋_GB2312" w:cs="Times New Roman"/>
                <w:kern w:val="0"/>
                <w:sz w:val="22"/>
                <w:szCs w:val="22"/>
                <w:lang w:bidi="ar"/>
              </w:rPr>
            </w:pPr>
            <w:r>
              <w:rPr>
                <w:rFonts w:hint="default" w:ascii="Times New Roman" w:hAnsi="Times New Roman" w:eastAsia="仿宋_GB2312" w:cs="Times New Roman"/>
                <w:kern w:val="0"/>
                <w:sz w:val="22"/>
                <w:szCs w:val="22"/>
                <w:lang w:bidi="ar"/>
              </w:rPr>
              <w:t>第十四章</w:t>
            </w:r>
          </w:p>
          <w:p w14:paraId="3774FF2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分析与改进</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888932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611D3F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14.1.1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4C08B23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企业应当开展产品和质量管理体系监测、分析和改进活动，确保产品安全有效、质量管理体系持续有效运行。</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9302B4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CE9456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《规范》第一百二十一条</w:t>
            </w:r>
          </w:p>
        </w:tc>
      </w:tr>
      <w:tr w14:paraId="48C20CD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D4BC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B404F68">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755ADF9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14.2.1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CF3A371">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企业应当建立产品质量投诉和顾客反馈处理程序，明确相关部门职责，及时接收、调查、评价和处理投诉与反馈意见，并保留相关记录。</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B32E54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5AC04CC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《规范》第一百二十二条</w:t>
            </w:r>
          </w:p>
        </w:tc>
      </w:tr>
      <w:tr w14:paraId="2573A54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2CC9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AA7636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207</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963E25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14.3.1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B2772A4">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企业应当建立医疗器械不良事件监测制度，对发生的不良事件及时报告，并开展调查、分析、评价，必要时采取风险控制措施。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46CEA7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3F834C36">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《规范》第一百二十三条</w:t>
            </w:r>
          </w:p>
        </w:tc>
      </w:tr>
      <w:tr w14:paraId="465ED641">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7C441">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177E980">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208</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51AEC81F">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14.4.1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83A4C60">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A948D5E">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C826B7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《规范》第一百二十四条</w:t>
            </w:r>
          </w:p>
        </w:tc>
      </w:tr>
      <w:tr w14:paraId="61B7DCBD">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F55EC">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29042F9">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209</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A77678B">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14.5.1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AFE24B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企业应当建立纠正措施程序，确定产生问题的原因，采取有效措施，防止相关问题再次发生。应当建立预防措施程序，确定潜在问题的原因，采取有效措施，防止问题发生。</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B03516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6732D2A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《规范》第一百二十五条</w:t>
            </w:r>
          </w:p>
        </w:tc>
      </w:tr>
      <w:tr w14:paraId="614F4940">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38B14">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55EB1E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210</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3BFB7F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14.5.2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34852FF3">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企业采取的纠正预防措施应当与问题影响程度相适应，且经验证无不良影响。措施有效性应当进行确认。</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524AC2B">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2B6B743">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《规范》第一百二十五条</w:t>
            </w:r>
          </w:p>
        </w:tc>
      </w:tr>
      <w:tr w14:paraId="6BFD507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7FE46">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DF1B051">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211</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F2E0FE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14.6.1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1189AC37">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企业应当建立医疗器械召回管理制度，收集医疗器械安全相关信息，对可能的缺陷产品进行调查、评估，及时召回缺陷产品，并按照规定报告有关部门。</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8B6EB7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7643C92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《规范》第一百二十六条</w:t>
            </w:r>
          </w:p>
        </w:tc>
      </w:tr>
      <w:tr w14:paraId="0042F60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751C5">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166070A">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212</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221964C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14.7.1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7F31FD71">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企业应当建立产品信息告知程序，及时将与产品安全有关的变化信息通知相关企业、使用单位或者消费者。</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9F3E2EA">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F6417A5">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《规范》第一百二十七条</w:t>
            </w:r>
          </w:p>
        </w:tc>
      </w:tr>
      <w:tr w14:paraId="0DBD758B">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EE7C9">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EE554BD">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213</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65E184B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14.8.1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0F5269A">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企业应当建立质量管理体系内部审核程序，确定审核准则、范围、频次、参加人员、方法、记录要求、纠正预防措施有效性评定等内容。</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D6F4E27">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E99D31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《规范》第一百二十八条</w:t>
            </w:r>
          </w:p>
        </w:tc>
      </w:tr>
      <w:tr w14:paraId="43162169">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EDC0B">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687476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214</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4370E9B4">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14.8.2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0593708B">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企业应当制定内部审核计划，按计划实施内部审核并形成审核报告，对审核发现的不合格问题应当采取纠正预防措施。</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058B2C9">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40F24BC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《规范》第一百二十八条</w:t>
            </w:r>
          </w:p>
        </w:tc>
      </w:tr>
      <w:tr w14:paraId="1FBD4AEE">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D07D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CA37575">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215</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0546AD42">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14.9.1</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66867055">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企业应当建立管理评审程序，定期开展管理评审。管理评审内容应当包括质量风险回顾、产品质量评价以及质量管理体系变更需求、法规符合性和改进的可能性等。</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DAB7D3F">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1E5D3C84">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《规范》第一百二十九条</w:t>
            </w:r>
          </w:p>
        </w:tc>
      </w:tr>
      <w:tr w14:paraId="15BA6656">
        <w:tblPrEx>
          <w:tblCellMar>
            <w:top w:w="0" w:type="dxa"/>
            <w:left w:w="108" w:type="dxa"/>
            <w:bottom w:w="0" w:type="dxa"/>
            <w:right w:w="108" w:type="dxa"/>
          </w:tblCellMar>
        </w:tblPrEx>
        <w:trPr>
          <w:cantSplit/>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055B2">
            <w:pPr>
              <w:spacing w:after="0" w:line="240" w:lineRule="auto"/>
              <w:jc w:val="center"/>
              <w:rPr>
                <w:rFonts w:hint="default" w:ascii="Times New Roman" w:hAnsi="Times New Roman" w:eastAsia="仿宋_GB2312" w:cs="Times New Roman"/>
                <w:sz w:val="22"/>
                <w:szCs w:val="22"/>
              </w:rPr>
            </w:pP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18882D3">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216</w:t>
            </w:r>
          </w:p>
        </w:tc>
        <w:tc>
          <w:tcPr>
            <w:tcW w:w="876" w:type="dxa"/>
            <w:tcBorders>
              <w:top w:val="single" w:color="000000" w:sz="4" w:space="0"/>
              <w:left w:val="single" w:color="000000" w:sz="4" w:space="0"/>
              <w:bottom w:val="single" w:color="000000" w:sz="4" w:space="0"/>
              <w:right w:val="single" w:color="000000" w:sz="4" w:space="0"/>
            </w:tcBorders>
            <w:noWrap w:val="0"/>
            <w:vAlign w:val="center"/>
          </w:tcPr>
          <w:p w14:paraId="3D1145BC">
            <w:pPr>
              <w:widowControl/>
              <w:spacing w:after="0" w:line="240" w:lineRule="auto"/>
              <w:jc w:val="center"/>
              <w:textAlignment w:val="center"/>
              <w:rPr>
                <w:rFonts w:ascii="Times New Roman" w:hAnsi="Times New Roman" w:eastAsia="等线" w:cs="Times New Roman"/>
                <w:sz w:val="22"/>
                <w:szCs w:val="22"/>
              </w:rPr>
            </w:pPr>
            <w:r>
              <w:rPr>
                <w:rFonts w:ascii="Times New Roman" w:hAnsi="Times New Roman" w:eastAsia="等线" w:cs="Times New Roman"/>
                <w:kern w:val="0"/>
                <w:sz w:val="22"/>
                <w:szCs w:val="22"/>
                <w:lang w:bidi="ar"/>
              </w:rPr>
              <w:t>14.9.2</w:t>
            </w:r>
          </w:p>
        </w:tc>
        <w:tc>
          <w:tcPr>
            <w:tcW w:w="4422" w:type="dxa"/>
            <w:tcBorders>
              <w:top w:val="single" w:color="000000" w:sz="4" w:space="0"/>
              <w:left w:val="single" w:color="000000" w:sz="4" w:space="0"/>
              <w:bottom w:val="single" w:color="000000" w:sz="4" w:space="0"/>
              <w:right w:val="single" w:color="000000" w:sz="4" w:space="0"/>
            </w:tcBorders>
            <w:noWrap w:val="0"/>
            <w:vAlign w:val="center"/>
          </w:tcPr>
          <w:p w14:paraId="2FB9BA71">
            <w:pPr>
              <w:widowControl/>
              <w:spacing w:after="0" w:line="240" w:lineRule="auto"/>
              <w:jc w:val="left"/>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企业应当形成管理评审报告并有相应改进措施，确保质量管理体系的持续适宜性、充分性和有效性。</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D73BB2">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w:t>
            </w:r>
          </w:p>
        </w:tc>
        <w:tc>
          <w:tcPr>
            <w:tcW w:w="1363" w:type="dxa"/>
            <w:tcBorders>
              <w:top w:val="single" w:color="000000" w:sz="4" w:space="0"/>
              <w:left w:val="single" w:color="000000" w:sz="4" w:space="0"/>
              <w:bottom w:val="single" w:color="000000" w:sz="4" w:space="0"/>
              <w:right w:val="single" w:color="000000" w:sz="4" w:space="0"/>
            </w:tcBorders>
            <w:noWrap w:val="0"/>
            <w:vAlign w:val="center"/>
          </w:tcPr>
          <w:p w14:paraId="275E3F50">
            <w:pPr>
              <w:widowControl/>
              <w:spacing w:after="0" w:line="240" w:lineRule="auto"/>
              <w:jc w:val="center"/>
              <w:textAlignment w:val="center"/>
              <w:rPr>
                <w:rFonts w:hint="default" w:ascii="Times New Roman" w:hAnsi="Times New Roman" w:eastAsia="仿宋_GB2312" w:cs="Times New Roman"/>
                <w:sz w:val="22"/>
                <w:szCs w:val="22"/>
              </w:rPr>
            </w:pPr>
            <w:r>
              <w:rPr>
                <w:rFonts w:hint="default" w:ascii="Times New Roman" w:hAnsi="Times New Roman" w:eastAsia="仿宋_GB2312" w:cs="Times New Roman"/>
                <w:kern w:val="0"/>
                <w:sz w:val="22"/>
                <w:szCs w:val="22"/>
                <w:lang w:bidi="ar"/>
              </w:rPr>
              <w:t>《规范》第一百二十九条</w:t>
            </w:r>
          </w:p>
        </w:tc>
      </w:tr>
    </w:tbl>
    <w:p w14:paraId="67CFF02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7C661B"/>
    <w:rsid w:val="167C6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2026-09-24T02:52:00Z</dcterms:created>
  <dc:creator>YU</dc:creator>
  <cp:lastModifiedBy>YU</cp:lastModifiedBy>
  <dcterms:modified xsi:type="dcterms:W3CDTF">2026-09-24T02:53:34Z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32CE4DB66C3C478381B873B7CB266E14_11</vt:lpwstr>
  </property>
  <property fmtid="{D5CDD505-2E9C-101B-9397-08002B2CF9AE}" pid="4" name="KSOTemplateDocerSaveRecord">
    <vt:lpwstr>eyJoZGlkIjoiNzUzMjcxYjI3MDRjMDIwZmVmYTgzNGM3MjE3OGJkMDMiLCJ1c2VySWQiOiIyNzgyMDExNzcifQ==</vt:lpwstr>
  </property>
</Properties>
</file>