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F5CA7">
      <w:pPr>
        <w:rPr>
          <w:rFonts w:hint="eastAsia" w:ascii="黑体" w:hAnsi="黑体" w:eastAsia="黑体" w:cs="黑体"/>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黑体" w:hAnsi="黑体" w:eastAsia="黑体" w:cs="黑体"/>
          <w:sz w:val="32"/>
          <w:szCs w:val="32"/>
          <w:lang w:val="en-US" w:eastAsia="zh-CN"/>
        </w:rPr>
        <w:t>2</w:t>
      </w:r>
    </w:p>
    <w:p w14:paraId="3A3166A7">
      <w:pPr>
        <w:rPr>
          <w:rFonts w:hint="default" w:ascii="黑体" w:hAnsi="黑体" w:eastAsia="黑体" w:cs="黑体"/>
          <w:sz w:val="32"/>
          <w:szCs w:val="32"/>
          <w:lang w:val="en-US" w:eastAsia="zh-CN"/>
        </w:rPr>
      </w:pPr>
    </w:p>
    <w:p w14:paraId="452EB9E7">
      <w:pPr>
        <w:spacing w:line="640" w:lineRule="exact"/>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医疗器械生产质量管理规范</w:t>
      </w:r>
    </w:p>
    <w:p w14:paraId="4F4F7B0A">
      <w:pPr>
        <w:spacing w:line="640" w:lineRule="exact"/>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植入性医疗器械检查指导原则</w:t>
      </w:r>
    </w:p>
    <w:p w14:paraId="6091A23C">
      <w:pPr>
        <w:spacing w:line="640" w:lineRule="exact"/>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（征求意见稿）</w:t>
      </w:r>
    </w:p>
    <w:p w14:paraId="1FC60EDC">
      <w:pPr>
        <w:spacing w:line="580" w:lineRule="exact"/>
        <w:jc w:val="center"/>
        <w:rPr>
          <w:rFonts w:ascii="Times New Roman" w:hAnsi="Times New Roman" w:eastAsia="楷体" w:cs="Times New Roman"/>
          <w:sz w:val="32"/>
          <w:szCs w:val="32"/>
        </w:rPr>
      </w:pPr>
    </w:p>
    <w:p w14:paraId="1E3D4867">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eastAsia" w:ascii="Times New Roman" w:hAnsi="Times New Roman" w:eastAsia="仿宋_GB2312" w:cs="Times New Roman"/>
          <w:sz w:val="32"/>
          <w:szCs w:val="32"/>
        </w:rPr>
        <w:t>植入性</w:t>
      </w:r>
      <w:r>
        <w:rPr>
          <w:rFonts w:ascii="Times New Roman" w:hAnsi="Times New Roman" w:eastAsia="仿宋_GB2312" w:cs="Times New Roman"/>
          <w:sz w:val="32"/>
          <w:szCs w:val="32"/>
        </w:rPr>
        <w:t>医疗器械注册人、受托生产企业（以下简称企业）开展生产检查工作，根据《医疗器械生产质量管理规范》（以下简称《规范》）</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《医疗器械生产质量管理规范附录植入性医疗器械》（以下简称《植入附录》）</w:t>
      </w:r>
      <w:r>
        <w:rPr>
          <w:rFonts w:ascii="Times New Roman" w:hAnsi="Times New Roman" w:eastAsia="仿宋_GB2312" w:cs="Times New Roman"/>
          <w:sz w:val="32"/>
          <w:szCs w:val="32"/>
        </w:rPr>
        <w:t>，制定本指导原则。</w:t>
      </w:r>
    </w:p>
    <w:p w14:paraId="573CE3E8">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本指导原则基于《规范》《植入附录》</w:t>
      </w:r>
      <w:r>
        <w:rPr>
          <w:rFonts w:hint="default" w:ascii="Times New Roman" w:hAnsi="Times New Roman" w:eastAsia="仿宋_GB2312" w:cs="Times New Roman"/>
          <w:sz w:val="32"/>
          <w:szCs w:val="32"/>
        </w:rPr>
        <w:t>各条款在质量管理体系中的重要性及其不符合带来的质量安全风险程度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将《植入附录》内容与《规范》融合衔接，转化为植入性医疗器械检查项目，并</w:t>
      </w:r>
      <w:r>
        <w:rPr>
          <w:rFonts w:hint="default" w:ascii="Times New Roman" w:hAnsi="Times New Roman" w:eastAsia="仿宋_GB2312" w:cs="Times New Roman"/>
          <w:sz w:val="32"/>
          <w:szCs w:val="32"/>
        </w:rPr>
        <w:t>划分为关键项目（</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）、主要项目（**）和一般项目（*）三个等级。植入性医疗器械检查项目共220项，其中关键项目42项，主要项目98项，一般项80项。</w:t>
      </w:r>
    </w:p>
    <w:p w14:paraId="5877D9B3">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检查类型及结果判定遵循《医疗器械生产质量管理规范检查指导原则》。</w:t>
      </w:r>
    </w:p>
    <w:p w14:paraId="4415D967">
      <w:pPr>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ascii="Times New Roman" w:hAnsi="Times New Roman" w:eastAsia="仿宋_GB2312" w:cs="Times New Roman"/>
          <w:sz w:val="32"/>
          <w:szCs w:val="32"/>
        </w:rPr>
      </w:pPr>
    </w:p>
    <w:p w14:paraId="08DFFE83">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textAlignment w:val="auto"/>
        <w:rPr>
          <w:rFonts w:ascii="Times New Roman" w:hAnsi="Times New Roman" w:eastAsia="方正仿宋_GB2312" w:cs="Times New Roman"/>
          <w:sz w:val="32"/>
          <w:szCs w:val="32"/>
        </w:rPr>
      </w:pPr>
      <w:r>
        <w:rPr>
          <w:rFonts w:hint="default" w:ascii="Times New Roman" w:hAnsi="Times New Roman" w:eastAsia="仿宋_GB2312" w:cs="Times New Roman"/>
          <w:sz w:val="32"/>
          <w:szCs w:val="32"/>
        </w:rPr>
        <w:t>附件：</w:t>
      </w:r>
      <w:r>
        <w:rPr>
          <w:rFonts w:ascii="Times New Roman" w:hAnsi="Times New Roman" w:eastAsia="仿宋_GB2312" w:cs="Times New Roman"/>
          <w:sz w:val="32"/>
          <w:szCs w:val="32"/>
        </w:rPr>
        <w:t>植入</w:t>
      </w:r>
      <w:r>
        <w:rPr>
          <w:rFonts w:hint="eastAsia" w:ascii="Times New Roman" w:hAnsi="Times New Roman" w:eastAsia="仿宋_GB2312" w:cs="Times New Roman"/>
          <w:sz w:val="32"/>
          <w:szCs w:val="32"/>
          <w:lang w:eastAsia="zh-CN"/>
        </w:rPr>
        <w:t>性医疗器械</w:t>
      </w:r>
      <w:r>
        <w:rPr>
          <w:rFonts w:ascii="Times New Roman" w:hAnsi="Times New Roman" w:eastAsia="仿宋_GB2312" w:cs="Times New Roman"/>
          <w:sz w:val="32"/>
          <w:szCs w:val="32"/>
        </w:rPr>
        <w:t>检查项目</w:t>
      </w:r>
    </w:p>
    <w:p w14:paraId="373000C9">
      <w:pPr>
        <w:widowControl/>
        <w:jc w:val="left"/>
        <w:rPr>
          <w:rFonts w:hint="default" w:ascii="Times New Roman" w:hAnsi="Times New Roman" w:eastAsia="黑体" w:cs="Times New Roman"/>
          <w:sz w:val="32"/>
          <w:szCs w:val="32"/>
        </w:rPr>
      </w:pPr>
      <w:r>
        <w:rPr>
          <w:rFonts w:ascii="Times New Roman" w:hAnsi="Times New Roman" w:eastAsia="黑体" w:cs="Times New Roman"/>
          <w:sz w:val="32"/>
          <w:szCs w:val="32"/>
        </w:rPr>
        <w:br w:type="page"/>
      </w:r>
      <w:r>
        <w:rPr>
          <w:rFonts w:ascii="Times New Roman" w:hAnsi="Times New Roman" w:eastAsia="黑体" w:cs="Times New Roman"/>
          <w:sz w:val="32"/>
          <w:szCs w:val="32"/>
        </w:rPr>
        <w:t>附</w:t>
      </w:r>
    </w:p>
    <w:p w14:paraId="7E16D364">
      <w:pPr>
        <w:jc w:val="center"/>
        <w:rPr>
          <w:rFonts w:ascii="Times New Roman" w:hAnsi="Times New Roman" w:eastAsia="方正小标宋简体" w:cs="Times New Roman"/>
          <w:bCs/>
          <w:kern w:val="0"/>
          <w:sz w:val="44"/>
          <w:szCs w:val="44"/>
          <w:lang w:bidi="ar"/>
        </w:rPr>
      </w:pPr>
      <w:r>
        <w:rPr>
          <w:rFonts w:hint="eastAsia" w:ascii="Times New Roman" w:hAnsi="Times New Roman" w:eastAsia="方正小标宋简体" w:cs="Times New Roman"/>
          <w:bCs/>
          <w:kern w:val="0"/>
          <w:sz w:val="44"/>
          <w:szCs w:val="44"/>
          <w:lang w:eastAsia="zh-CN" w:bidi="ar"/>
        </w:rPr>
        <w:t>植入性医疗器械</w:t>
      </w:r>
      <w:r>
        <w:rPr>
          <w:rFonts w:ascii="Times New Roman" w:hAnsi="Times New Roman" w:eastAsia="方正小标宋简体" w:cs="Times New Roman"/>
          <w:bCs/>
          <w:kern w:val="0"/>
          <w:sz w:val="44"/>
          <w:szCs w:val="44"/>
          <w:lang w:bidi="ar"/>
        </w:rPr>
        <w:t>检查项目</w:t>
      </w:r>
    </w:p>
    <w:tbl>
      <w:tblPr>
        <w:tblStyle w:val="2"/>
        <w:tblW w:w="8839" w:type="dxa"/>
        <w:tblInd w:w="0" w:type="dxa"/>
        <w:tblLayout w:type="autofit"/>
        <w:tblCellMar>
          <w:top w:w="0" w:type="dxa"/>
          <w:left w:w="108" w:type="dxa"/>
          <w:bottom w:w="0" w:type="dxa"/>
          <w:right w:w="108" w:type="dxa"/>
        </w:tblCellMar>
      </w:tblPr>
      <w:tblGrid>
        <w:gridCol w:w="883"/>
        <w:gridCol w:w="648"/>
        <w:gridCol w:w="876"/>
        <w:gridCol w:w="4479"/>
        <w:gridCol w:w="737"/>
        <w:gridCol w:w="1216"/>
      </w:tblGrid>
      <w:tr w14:paraId="4EA78684">
        <w:tblPrEx>
          <w:tblCellMar>
            <w:top w:w="0" w:type="dxa"/>
            <w:left w:w="108" w:type="dxa"/>
            <w:bottom w:w="0" w:type="dxa"/>
            <w:right w:w="108" w:type="dxa"/>
          </w:tblCellMar>
        </w:tblPrEx>
        <w:trPr>
          <w:cantSplit/>
          <w:tblHeader/>
        </w:trPr>
        <w:tc>
          <w:tcPr>
            <w:tcW w:w="883" w:type="dxa"/>
            <w:tcBorders>
              <w:top w:val="single" w:color="000000" w:sz="4" w:space="0"/>
              <w:left w:val="single" w:color="000000" w:sz="4" w:space="0"/>
              <w:bottom w:val="single" w:color="000000" w:sz="4" w:space="0"/>
              <w:right w:val="single" w:color="000000" w:sz="4" w:space="0"/>
            </w:tcBorders>
            <w:noWrap w:val="0"/>
            <w:vAlign w:val="center"/>
          </w:tcPr>
          <w:p w14:paraId="6DA4DC54">
            <w:pPr>
              <w:widowControl/>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章节</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99F31D">
            <w:pPr>
              <w:widowControl/>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序号</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D471F6">
            <w:pPr>
              <w:widowControl/>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条款</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CCD3C35">
            <w:pPr>
              <w:widowControl/>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52D6DFB">
            <w:pPr>
              <w:widowControl/>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风险等级</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79AD428">
            <w:pPr>
              <w:widowControl/>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规范条款/附录条款</w:t>
            </w:r>
          </w:p>
        </w:tc>
      </w:tr>
      <w:tr w14:paraId="74E5F57C">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508E0">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第一章</w:t>
            </w:r>
          </w:p>
          <w:p w14:paraId="4AD4138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总则</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4B352B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6A912E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64DD97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818E9B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B04FA2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《规范》第三条</w:t>
            </w:r>
          </w:p>
        </w:tc>
      </w:tr>
      <w:tr w14:paraId="454BFAF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3F09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C1F09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DC15E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5C2747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企业应当将风险管理理念贯穿于质量管理体系运行全过程，所采取的控制措施应当与产品存在的风险相适应。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30587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FE449F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《规范》第四条</w:t>
            </w:r>
          </w:p>
        </w:tc>
      </w:tr>
      <w:tr w14:paraId="6AEDEF33">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FCBB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第二章质量保证</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E2371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8B856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C6B1E8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B35FE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EF2757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《规范》第七条</w:t>
            </w:r>
          </w:p>
        </w:tc>
      </w:tr>
      <w:tr w14:paraId="2A7C16E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E631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08692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6573F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C32611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企业应当为实现质量目标配备足够并符合要求的人员、厂房设施和设备等资源。</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3B6AEC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47D4F8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《规范》第八条</w:t>
            </w:r>
          </w:p>
        </w:tc>
      </w:tr>
      <w:tr w14:paraId="0F8DE43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3A50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713C5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EB477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BC94DB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企业各级人员应当共同参与实现质量目标的各项活动并承担相应责任。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52088F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EDED9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《规范》第八条</w:t>
            </w:r>
          </w:p>
        </w:tc>
      </w:tr>
      <w:tr w14:paraId="5372C36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A16D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5BD43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68AD5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58063F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企业应当建立质量保证系统并有完整的质量管理体系文件，保证质量管理体系有效运行。</w:t>
            </w:r>
          </w:p>
          <w:p w14:paraId="3E744B8B">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质量保证系统应当确保：</w:t>
            </w:r>
          </w:p>
          <w:p w14:paraId="77961C8E">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医疗器械的设计开发、生产管理和质量控制活动符合本规范；</w:t>
            </w:r>
          </w:p>
          <w:p w14:paraId="488AE3C1">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管理职责明确；</w:t>
            </w:r>
          </w:p>
          <w:p w14:paraId="0C8FB7E3">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采购和使用的原材料正确无误；</w:t>
            </w:r>
          </w:p>
          <w:p w14:paraId="71F74FC8">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 中间产品得到有效控制；</w:t>
            </w:r>
          </w:p>
          <w:p w14:paraId="5A787F4E">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（五） 验证、确认活动符合要求；</w:t>
            </w:r>
          </w:p>
          <w:p w14:paraId="41D2E32E">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（六） 严格按照规程进行生产和检验；</w:t>
            </w:r>
          </w:p>
          <w:p w14:paraId="5699784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（七） 每批（台）产品经审核批准后放行；</w:t>
            </w:r>
          </w:p>
          <w:p w14:paraId="2CF9FAB9">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（八） 贮存、运输以及安装等环节有保证产品质量的措施；</w:t>
            </w:r>
          </w:p>
          <w:p w14:paraId="4713530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（九） 委托研发、委托生产、外协加工和委托检验等活动处于受控状态。</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13D76C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9BA2DD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《规范》第九条</w:t>
            </w:r>
          </w:p>
        </w:tc>
      </w:tr>
      <w:tr w14:paraId="5BB910F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3CDE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124DC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E92ED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DA2363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123312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8C229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《规范》第十条</w:t>
            </w:r>
          </w:p>
        </w:tc>
      </w:tr>
      <w:tr w14:paraId="595A478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CA53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4171D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79939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F1BEDE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54DC8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4D9C22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《规范》第十一条</w:t>
            </w:r>
          </w:p>
        </w:tc>
      </w:tr>
      <w:tr w14:paraId="569BC0C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5EBB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9C7C4C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69D6C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0A3DBE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AF3846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D0D4DE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《规范》第十二条</w:t>
            </w:r>
          </w:p>
        </w:tc>
      </w:tr>
      <w:tr w14:paraId="12273C6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F181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60CD3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81A2CD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B4D553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企业应当收集产品全生命周期质量风险信息，定期实施质量风险管理回顾，确保质量风险管理措施持续有效。</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B47370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DD4F25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《规范》第十三条</w:t>
            </w:r>
          </w:p>
        </w:tc>
      </w:tr>
      <w:tr w14:paraId="7F02873D">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1FBF6">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第三章</w:t>
            </w:r>
          </w:p>
          <w:p w14:paraId="0118A06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机构与人员</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1C1707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E7C26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FBEDDE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企业应当建立与医疗器械生产相适应的组织机构，明确各部门的职责和权限，明确质量管理职能。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C28E70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6982FA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《规范》第十四条</w:t>
            </w:r>
          </w:p>
        </w:tc>
      </w:tr>
      <w:tr w14:paraId="1112D50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CC3B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59EC98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041B82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B5E87D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生产管理部门和质量管理部门负责人不得互相兼任。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1AA289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12C494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《规范》第十四条</w:t>
            </w:r>
          </w:p>
        </w:tc>
      </w:tr>
      <w:tr w14:paraId="2813BAD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D7EC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989D0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CDBD8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0A7242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企业应当设立与所生产产品相适应的质量管理部门。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826A0E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BB5647C">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《规范》第十五条</w:t>
            </w:r>
            <w:r>
              <w:rPr>
                <w:rFonts w:hint="eastAsia" w:ascii="Times New Roman" w:hAnsi="Times New Roman" w:eastAsia="仿宋_GB2312" w:cs="Times New Roman"/>
                <w:kern w:val="0"/>
                <w:sz w:val="22"/>
                <w:szCs w:val="22"/>
                <w:lang w:eastAsia="zh-CN" w:bidi="ar"/>
              </w:rPr>
              <w:t>，</w:t>
            </w:r>
          </w:p>
          <w:p w14:paraId="237E7EC8">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2.7.5</w:t>
            </w:r>
          </w:p>
        </w:tc>
      </w:tr>
      <w:tr w14:paraId="0DA8496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E09C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21988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3AB81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4017A59">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质量管理部门应当参与和产品质量相关的各项活动，负责审核与本规范有关的文件。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BB2D92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47078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《规范》第十五条</w:t>
            </w:r>
          </w:p>
        </w:tc>
      </w:tr>
      <w:tr w14:paraId="52F01D6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CEC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959A8C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C58B5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C4BC08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质量管理部门应当独立履行质量保证和质量控制职责，并对产品质量有否决权。</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5D494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45CBC4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《规范》第十五条</w:t>
            </w:r>
          </w:p>
        </w:tc>
      </w:tr>
      <w:tr w14:paraId="3E089A0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D975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86D7A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95E79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4CFDEB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企业应当配备足够数量并具有相应资质（含学历、培训和实践经验）的专业技术人员、管理人员、生产操作人员和专职检验人员。</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A3F109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9469D5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《规范》第十六条</w:t>
            </w:r>
          </w:p>
        </w:tc>
      </w:tr>
      <w:tr w14:paraId="547735B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B3C1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71B0D3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8A54F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81F4449">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企业应当明确规定每个岗位的职责，岗位职责不得遗漏，交叉的职责应当有明确规定。</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6E0EAC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9970B1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《规范》第十六条</w:t>
            </w:r>
          </w:p>
        </w:tc>
      </w:tr>
      <w:tr w14:paraId="127A024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DBD0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99EE1C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69E69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36B187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953AA5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1EA7C6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《规范》第十七条</w:t>
            </w:r>
          </w:p>
        </w:tc>
      </w:tr>
      <w:tr w14:paraId="031A9D1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6B0E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654A92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FEC6A7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3EFB3E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关键岗位人员应当熟悉医疗器械相关法律法规，具有质量管理的实践经验，有能力对生产管理和质量管理中的实际问题作出正确的判断和处理。植入性的动物源医疗器械和同种异体医疗器械的生产、技术和质量管理人员应当具有相应的生物学、生物化学、微生物学、医学、免疫学等专业知识，并具有相应的实践经验，以确保具备在生产、质量管理中履行职责的能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3FB376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F46D33C">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《规范》第十七条</w:t>
            </w:r>
            <w:r>
              <w:rPr>
                <w:rFonts w:hint="eastAsia" w:ascii="Times New Roman" w:hAnsi="Times New Roman" w:eastAsia="仿宋_GB2312" w:cs="Times New Roman"/>
                <w:kern w:val="0"/>
                <w:sz w:val="22"/>
                <w:szCs w:val="22"/>
                <w:lang w:eastAsia="zh-CN" w:bidi="ar"/>
              </w:rPr>
              <w:t>，</w:t>
            </w:r>
          </w:p>
          <w:p w14:paraId="67EC0C14">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2.1.1</w:t>
            </w:r>
          </w:p>
        </w:tc>
      </w:tr>
      <w:tr w14:paraId="5BD94D9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D415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404102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3F759A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3CE137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企业法定代表人、主要负责人负责组织制定企业的质量方针和质量目标，并确保质量管理体系有效运行所需的人力资源、基础设施和工作环境等。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BADF2B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4E9D97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2042AF3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F269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34C8A0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B9C4A9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BD2233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企业法定代表人、主要负责人负责组织实施管理评审，定期对质量管理体系运行情况进行评估，并持续改进。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8CE86C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ED506A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065752A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F21E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AFAF1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AFF04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3.5.3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F85E3F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企业法定代表人、主要负责人应当确保管理者代表、质量管理部门负责人和产品放行审核人独立履行职责，不受企业内部因素干扰。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AF9374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E44AD1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70CD94E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6B3D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922FC8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04B82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3.5.4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FABCE39">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企业法定代表人、主要负责人对医疗器械生产全面负责，应当按照相关法律、法规、规章、强制性标准以及经注册或者备案的产品技术要求组织生产。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BAC9BA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0B95B6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73FE58B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8674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F238E0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D8D66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F7F247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企业应当在高层管理人员中任命一名管理者代表。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25B8E5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EFD5E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《规范》第十九条</w:t>
            </w:r>
          </w:p>
        </w:tc>
      </w:tr>
      <w:tr w14:paraId="6DBA9683">
        <w:tblPrEx>
          <w:tblCellMar>
            <w:top w:w="0" w:type="dxa"/>
            <w:left w:w="108" w:type="dxa"/>
            <w:bottom w:w="0" w:type="dxa"/>
            <w:right w:w="108" w:type="dxa"/>
          </w:tblCellMar>
        </w:tblPrEx>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63ED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E1ABC6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3E297C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811367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二类、第三类医疗器械企业管理者代表应当具有医疗器械相关专业大学本科及以上学历或者中级及以上技术职称。管理者代表原则上应当具有三年及以上医疗器械质量管理或者生产、技术管理工作经验，熟悉产品生产和质量管理情况，具有良好履职能力。</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F735FD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A688B0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《规范》第十九条</w:t>
            </w:r>
          </w:p>
        </w:tc>
      </w:tr>
      <w:tr w14:paraId="73293C0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F758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838FF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E01A09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3.6.3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9A66C79">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管理者代表至少应当履行下列职责：</w:t>
            </w:r>
          </w:p>
          <w:p w14:paraId="735D0EA2">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（一）贯彻执行相关法律、法规、规章、强制性标准以及经注册或者备案的产品技术要求；</w:t>
            </w:r>
          </w:p>
          <w:p w14:paraId="23837202">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（二）建立健全与所生产产品相适应的质量管理体系并保持其有效运行；</w:t>
            </w:r>
          </w:p>
          <w:p w14:paraId="2AFC92D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（三）确保产品符合放行要求，组织开展上市后产品质量信息收集工作；</w:t>
            </w:r>
          </w:p>
          <w:p w14:paraId="0B0E56ED">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（四）组织开展质量管理体系自查、不良事件监测以及召回等工作，定期向企业法定代表人、主要负责人报告质量管理体系的运行情况和改进需求；</w:t>
            </w:r>
          </w:p>
          <w:p w14:paraId="2852725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（五）配合药品监督管理部门开展监督检查，针对发现的问题，组织企业相关部门按照要求及时整改。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68878B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0EB7C3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《规范》第十九条</w:t>
            </w:r>
          </w:p>
        </w:tc>
      </w:tr>
      <w:tr w14:paraId="7D596AA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0C64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7F91CF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A78644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F210E9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第二类、第三类医疗器械企业质量管理部门负责人应当具有医疗器械相关专业大学本科及以上学历或者中级及以上专业技术职称。质量管理部门负责人应当具备三年及以上医疗器械生产或者质量管理经验。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C67EE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68B0D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《规范》第二十条</w:t>
            </w:r>
          </w:p>
        </w:tc>
      </w:tr>
      <w:tr w14:paraId="41EA98C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BEBF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64993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D46057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0FF4E7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质量管理部门负责人应当履行下列职责：</w:t>
            </w:r>
          </w:p>
          <w:p w14:paraId="61E6BE9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（一）确保原材料和产品的生产、检验均符合相关法律、法规、规章、强制性标准以及经注册或者备案的产品技术要求；</w:t>
            </w:r>
          </w:p>
          <w:p w14:paraId="718C4382">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（二）组织产品放行审核；</w:t>
            </w:r>
          </w:p>
          <w:p w14:paraId="4FB14B8F">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（三）确保生产过程中所有重大偏差和不合格情况得到调查并及时、有效处理；</w:t>
            </w:r>
          </w:p>
          <w:p w14:paraId="126051E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（四）组织上市后产品质量管理活动，确保所有与产品质量有关的退货、投诉、不良事件得到调查并及时、有效处理；</w:t>
            </w:r>
          </w:p>
          <w:p w14:paraId="23FF404E">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（五）确保完成产品质量年度回顾分析；</w:t>
            </w:r>
          </w:p>
          <w:p w14:paraId="06F36FA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（六）确保本部门人员经过相关培训，掌握相关法规、理论知识和实际操作技能；</w:t>
            </w:r>
          </w:p>
          <w:p w14:paraId="7341605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（七）负责与产品质量有关的其他活动。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2B806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78AB79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《规范》第二十条</w:t>
            </w:r>
          </w:p>
        </w:tc>
      </w:tr>
      <w:tr w14:paraId="587AA1A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84E1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73DE67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E85CE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F8281A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生产管理部门负责人应当具有医疗器械相关专业大学专科及以上学历，具备三年及以上医疗器械生产或者质量管理经验。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A06D9A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44E30E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《规范》第二十一条</w:t>
            </w:r>
          </w:p>
        </w:tc>
      </w:tr>
      <w:tr w14:paraId="15E2AF2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5DF6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405FE8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993DF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68A1BDD">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生产管理部门负责人应当履行下列职责：</w:t>
            </w:r>
          </w:p>
          <w:p w14:paraId="2F71E074">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（一）确保按照生产工艺规程、作业指导书等组织生产；</w:t>
            </w:r>
          </w:p>
          <w:p w14:paraId="716F5FF3">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（二）确保生产记录真实、准确、完整、及时和可追溯；</w:t>
            </w:r>
          </w:p>
          <w:p w14:paraId="2755E995">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（三）组织实施厂房设施、设备的维护保养，确保其保持良好的运行状态；</w:t>
            </w:r>
          </w:p>
          <w:p w14:paraId="081565AB">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（四）确保本部门的员工经过培训，具备与其岗位要求相适应的知识和实际操作技能；</w:t>
            </w:r>
          </w:p>
          <w:p w14:paraId="76305F4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（五）负责与产品生产有关的其他活动。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73A28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58528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《规范》第二十一条</w:t>
            </w:r>
          </w:p>
        </w:tc>
      </w:tr>
      <w:tr w14:paraId="0E9A03F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F8D9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97B5EB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92BA5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B5E023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8D9203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E4F45D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《规范》第二十二条</w:t>
            </w:r>
          </w:p>
        </w:tc>
      </w:tr>
      <w:tr w14:paraId="35AA96F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0016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3F9E1E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E398F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B170BB2">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0015D1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0FA6F4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《规范》第二十三条</w:t>
            </w:r>
          </w:p>
        </w:tc>
      </w:tr>
      <w:tr w14:paraId="5A48592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4C0E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06DE5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24E77E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B66A01F">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企业应当指定部门或者专人负责培训管理工作，建立培训制度，制定培训计划，保留培训记录，并对培训实际效果进行评估。</w:t>
            </w:r>
          </w:p>
          <w:p w14:paraId="6693D5AD">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（一）在洁净室（区）工作的人员应当定期进行卫生和微生物学基础知识、洁净作业等方面培训。临时进入洁净室（区）的人员，应当对其进行指导和监督。</w:t>
            </w:r>
          </w:p>
          <w:p w14:paraId="64523AC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（二）从事植入性的动物源医疗器械和同种异体医疗器械生产的全体人员，包括清洁、维修等人员均应当根据其产品和所从事的生产操作进行专业和安全防护培训。</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2374E6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F33F984">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《规范》第二十三条</w:t>
            </w:r>
            <w:r>
              <w:rPr>
                <w:rFonts w:hint="eastAsia" w:ascii="Times New Roman" w:hAnsi="Times New Roman" w:eastAsia="仿宋_GB2312" w:cs="Times New Roman"/>
                <w:kern w:val="0"/>
                <w:sz w:val="22"/>
                <w:szCs w:val="22"/>
                <w:lang w:eastAsia="zh-CN" w:bidi="ar"/>
              </w:rPr>
              <w:t>，</w:t>
            </w:r>
          </w:p>
          <w:p w14:paraId="19BAD676">
            <w:pPr>
              <w:widowControl/>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2.1.3</w:t>
            </w:r>
          </w:p>
          <w:p w14:paraId="6DA6A23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2.1.2</w:t>
            </w:r>
          </w:p>
        </w:tc>
      </w:tr>
      <w:tr w14:paraId="2BD8B2B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F1EB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9BD8A1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5F303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3.11.1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A7C12F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从事影响产品质量工作的人员，企业应当根据生产产品特性对其健康进行管理，并建立健康档案。直接接触原材料和产品的人员每年至少体检一次。患有传染性和感染性疾病的人员不得从事直接接触产品的工作。</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1063F1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BCCE7A2">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《规范》第二十四条</w:t>
            </w:r>
            <w:r>
              <w:rPr>
                <w:rFonts w:hint="eastAsia" w:ascii="Times New Roman" w:hAnsi="Times New Roman" w:eastAsia="仿宋_GB2312" w:cs="Times New Roman"/>
                <w:kern w:val="0"/>
                <w:sz w:val="22"/>
                <w:szCs w:val="22"/>
                <w:lang w:eastAsia="zh-CN" w:bidi="ar"/>
              </w:rPr>
              <w:t>，</w:t>
            </w:r>
          </w:p>
          <w:p w14:paraId="3AD8CE30">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2.1.5</w:t>
            </w:r>
          </w:p>
        </w:tc>
      </w:tr>
      <w:tr w14:paraId="75172EFA">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EF24723">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第四章</w:t>
            </w:r>
          </w:p>
          <w:p w14:paraId="63AD59C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厂房与设施</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486329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B48BA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919B6FD">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厂房的选址、设计、布局、建造、改造和维护应当符合植入性医疗器械生产要求，能够最大限度地避免污染、交叉污染、混淆和差错，便于清洁、操作和维护。</w:t>
            </w:r>
          </w:p>
          <w:p w14:paraId="1C30D52F">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（一）厂区应当远离有污染的空气和水等污染源的区域；地面、路面周围环境及运输等不应对植入性的无菌医疗器械的生产造成污染。</w:t>
            </w:r>
          </w:p>
          <w:p w14:paraId="38C78A0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（二）行政区、生活区和辅助区的总体布局应当合理，不得对生产区有不良影响。</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C0AB10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2B257B">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《规范》第二十五条</w:t>
            </w:r>
            <w:r>
              <w:rPr>
                <w:rFonts w:hint="eastAsia" w:ascii="Times New Roman" w:hAnsi="Times New Roman" w:eastAsia="仿宋_GB2312" w:cs="Times New Roman"/>
                <w:kern w:val="0"/>
                <w:sz w:val="22"/>
                <w:szCs w:val="22"/>
                <w:lang w:eastAsia="zh-CN" w:bidi="ar"/>
              </w:rPr>
              <w:t>，</w:t>
            </w:r>
          </w:p>
          <w:p w14:paraId="2FC12164">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2.2.1</w:t>
            </w:r>
          </w:p>
        </w:tc>
      </w:tr>
      <w:tr w14:paraId="3938579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E01F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7BE91C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4D57A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4952ED3">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企业应当根据所生产产品特性、工艺流程以及相应洁净级别要求合理设计、布局和使用厂房与设施。</w:t>
            </w:r>
          </w:p>
          <w:p w14:paraId="111EFC7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（一）洁净室（区）应当按照植入性无菌医疗器械的生产工艺流程及所要求的空气洁净度级别进行合理布局，人流、物流走向应当合理。</w:t>
            </w:r>
          </w:p>
          <w:p w14:paraId="29A09788">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（二）同一洁净室（区）内或相邻洁净室（区）间的生产操作不得互相交叉污染。</w:t>
            </w:r>
          </w:p>
          <w:p w14:paraId="277C989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（三）洁净室（区）的内表面应当便于清洁，不受清洁和消毒的影响。洁净室（区）内操作台应当光滑、平整、不脱落尘粒和纤维，不易积尘并便于清洁处理和消毒。</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43B501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769801">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《规范》第二十六条</w:t>
            </w:r>
          </w:p>
          <w:p w14:paraId="70BDAF9D">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2.2.10、2.2.15、2.2.14</w:t>
            </w:r>
          </w:p>
        </w:tc>
      </w:tr>
      <w:tr w14:paraId="7A83363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831A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C3160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F0E74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224FDD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有整洁的生产环境，有适当的照明、温度、湿度和通风控制条件，符合产品质量以及相关技术标准的要求。洁净室（区）的温度和相对湿度应当与产品生产工艺要求相适应。无特殊要求时，温度应当控制在18～28℃，相对湿度控制在45%～65%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0FBB8B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5251C4">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《规范》第二十六条</w:t>
            </w:r>
            <w:r>
              <w:rPr>
                <w:rFonts w:hint="eastAsia" w:ascii="Times New Roman" w:hAnsi="Times New Roman" w:eastAsia="仿宋_GB2312" w:cs="Times New Roman"/>
                <w:kern w:val="0"/>
                <w:sz w:val="22"/>
                <w:szCs w:val="22"/>
                <w:lang w:eastAsia="zh-CN" w:bidi="ar"/>
              </w:rPr>
              <w:t>，</w:t>
            </w:r>
          </w:p>
          <w:p w14:paraId="20F5AE25">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2.2.12</w:t>
            </w:r>
          </w:p>
        </w:tc>
      </w:tr>
      <w:tr w14:paraId="3D232B5F">
        <w:tblPrEx>
          <w:tblCellMar>
            <w:top w:w="0" w:type="dxa"/>
            <w:left w:w="108" w:type="dxa"/>
            <w:bottom w:w="0" w:type="dxa"/>
            <w:right w:w="108" w:type="dxa"/>
          </w:tblCellMar>
        </w:tblPrEx>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3BF4F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4D9BD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B3C4EB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4C1B26">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厂房与设施的设计和安装应当能够有效防尘、防止昆虫或者其他动物进入，并根据产品特性采取必要的防护措施。</w:t>
            </w:r>
          </w:p>
          <w:p w14:paraId="181B71D9">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（一）洁净室（区）的门、窗及安全门应当密闭，洁净室（区）的门应当向洁净度高的方向开启</w:t>
            </w:r>
            <w:r>
              <w:rPr>
                <w:rFonts w:hint="eastAsia" w:ascii="Times New Roman" w:hAnsi="Times New Roman" w:eastAsia="仿宋_GB2312" w:cs="Times New Roman"/>
                <w:kern w:val="0"/>
                <w:sz w:val="22"/>
                <w:szCs w:val="22"/>
                <w:lang w:eastAsia="zh-CN" w:bidi="ar"/>
              </w:rPr>
              <w:t>；</w:t>
            </w:r>
          </w:p>
          <w:p w14:paraId="75274DDA">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（二）进入洁净室（区）的管道、进回风口布局应当合理，水、电、气输送线路与墙体接口处应当可靠密封，照明灯具不得悬吊</w:t>
            </w:r>
            <w:r>
              <w:rPr>
                <w:rFonts w:hint="eastAsia" w:ascii="Times New Roman" w:hAnsi="Times New Roman" w:eastAsia="仿宋_GB2312" w:cs="Times New Roman"/>
                <w:kern w:val="0"/>
                <w:sz w:val="22"/>
                <w:szCs w:val="22"/>
                <w:lang w:eastAsia="zh-CN" w:bidi="ar"/>
              </w:rPr>
              <w:t>；</w:t>
            </w:r>
          </w:p>
          <w:p w14:paraId="3ED34EC2">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（三）洁净室（区）内，水池或地漏应当有适当的设计和维护，并安装易于清洁且带有空气阻断功能的装置以防倒灌，同外部排水系统的连接方式应当能够防止微生物的侵入。</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0DF0FE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F790337">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《规范》第二十七条</w:t>
            </w:r>
            <w:r>
              <w:rPr>
                <w:rFonts w:hint="eastAsia" w:ascii="Times New Roman" w:hAnsi="Times New Roman" w:eastAsia="仿宋_GB2312" w:cs="Times New Roman"/>
                <w:kern w:val="0"/>
                <w:sz w:val="22"/>
                <w:szCs w:val="22"/>
                <w:lang w:eastAsia="zh-CN" w:bidi="ar"/>
              </w:rPr>
              <w:t>，</w:t>
            </w:r>
          </w:p>
          <w:p w14:paraId="0EAE7852">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2.2.13、2.2.15</w:t>
            </w:r>
          </w:p>
        </w:tc>
      </w:tr>
      <w:tr w14:paraId="0FFA890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E029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10F68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D5EB9E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8BA292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厂房与设施的维护和维修活动不得影响产品质量。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4D44C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95949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《规范》第二十七条</w:t>
            </w:r>
          </w:p>
        </w:tc>
      </w:tr>
      <w:tr w14:paraId="73234E4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4F81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EC75CB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FC170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2E6957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生产区应当有足够的空间，与所生产产品和规模相适应。洁净室（区）内的人数应当与洁净室（区）面积相适应。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75D884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5259C8">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《规范》第二十八条</w:t>
            </w:r>
            <w:r>
              <w:rPr>
                <w:rFonts w:hint="eastAsia" w:ascii="Times New Roman" w:hAnsi="Times New Roman" w:eastAsia="仿宋_GB2312" w:cs="Times New Roman"/>
                <w:kern w:val="0"/>
                <w:sz w:val="22"/>
                <w:szCs w:val="22"/>
                <w:lang w:eastAsia="zh-CN" w:bidi="ar"/>
              </w:rPr>
              <w:t>，</w:t>
            </w:r>
          </w:p>
          <w:p w14:paraId="7F78514D">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2.2.17</w:t>
            </w:r>
          </w:p>
        </w:tc>
      </w:tr>
      <w:tr w14:paraId="79568BC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446A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1DFC7B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FF98FF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6304A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同一区域内有多条生产线的，企业应当采取有效措施避免混淆和差错。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1FC02B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C79A3B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《规范》第二十八条</w:t>
            </w:r>
          </w:p>
        </w:tc>
      </w:tr>
      <w:tr w14:paraId="29F5D9D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9ED4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77A17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BDC3B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EABAE0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仓储区应当能够满足原材料、中间产品、成品等贮存条件要求，按照待检、合格、不合格、退货或者召回等情形进行合理存放，避免混淆和差错，便于检查和监控，贮存场所应当具有相应的环境监控设施。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2EEB3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DE64E17">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《规范》第二十九条</w:t>
            </w:r>
            <w:r>
              <w:rPr>
                <w:rFonts w:hint="eastAsia" w:ascii="Times New Roman" w:hAnsi="Times New Roman" w:eastAsia="仿宋_GB2312" w:cs="Times New Roman"/>
                <w:kern w:val="0"/>
                <w:sz w:val="22"/>
                <w:szCs w:val="22"/>
                <w:lang w:eastAsia="zh-CN" w:bidi="ar"/>
              </w:rPr>
              <w:t>，</w:t>
            </w:r>
          </w:p>
          <w:p w14:paraId="4890AC5B">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2.6.13</w:t>
            </w:r>
          </w:p>
        </w:tc>
      </w:tr>
      <w:tr w14:paraId="28CE6E6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C798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9B06E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3DDC3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4283CA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有毒、易燃、易爆和其他危险品的验收、贮存、管理等应当执行国家有关规定。</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7758CE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69C440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《规范》第二十九条</w:t>
            </w:r>
          </w:p>
        </w:tc>
      </w:tr>
      <w:tr w14:paraId="3540633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80DD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463CE9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0243A8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73615B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企业应当配备与产品生产规模、品种、检验要求相适应的检验场所和设施。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E4AE1B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58565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《规范》第三十条</w:t>
            </w:r>
          </w:p>
        </w:tc>
      </w:tr>
      <w:tr w14:paraId="5174A28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3F37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C7B9C5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35599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82066B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企业应当根据产品特性、生产工艺以及外部环境等配置相应设施，如空调净化系统、工艺用水系统、工艺用气系统以及防静电设施等。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EA1CCC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13E2AA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《规范》第三十一条</w:t>
            </w:r>
          </w:p>
        </w:tc>
      </w:tr>
      <w:tr w14:paraId="7C7EE83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242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31D8A8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BE74C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FD3EA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企业应当对相关设施进行确认并开展日常监测和维护，确保符合预定用途。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FC3D9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ED885E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《规范》第三十一条</w:t>
            </w:r>
          </w:p>
        </w:tc>
      </w:tr>
      <w:tr w14:paraId="2DCF0BCE">
        <w:tblPrEx>
          <w:tblCellMar>
            <w:top w:w="0" w:type="dxa"/>
            <w:left w:w="108" w:type="dxa"/>
            <w:bottom w:w="0" w:type="dxa"/>
            <w:right w:w="108" w:type="dxa"/>
          </w:tblCellMar>
        </w:tblPrEx>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C25E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2C5FCE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DE424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7BCE119">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企业应当根据所生产的植入性无菌医疗器械的质量要求，确定在相应级别洁净室（区）内进行生产的过程，避免生产中的污染。洁净室（区）空气洁净度级别指标应当符合医疗器械相关行业标准的要求。</w:t>
            </w:r>
          </w:p>
          <w:p w14:paraId="0B19A583">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（一）主要与骨接触的植入性无菌医疗器械或单包装出厂的配件，其末道清洁处理、组装、初包装、封口的生产区域和不经清洁处理零部件的加工生产区域应当不低于100,000级洁净度级别</w:t>
            </w:r>
            <w:r>
              <w:rPr>
                <w:rFonts w:hint="eastAsia" w:ascii="Times New Roman" w:hAnsi="Times New Roman" w:eastAsia="仿宋_GB2312" w:cs="Times New Roman"/>
                <w:kern w:val="0"/>
                <w:sz w:val="22"/>
                <w:szCs w:val="22"/>
                <w:lang w:eastAsia="zh-CN" w:bidi="ar"/>
              </w:rPr>
              <w:t>；</w:t>
            </w:r>
          </w:p>
          <w:p w14:paraId="4BB96BEB">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（二）主要与组织和组织液接触的植入性无菌医疗器械或单包装出厂的配件，其末道清洁处理、组装、初包装、封口的生产区域和不经清洁处理零部件的加工生产区域应当不低于100,000级洁净度级别</w:t>
            </w:r>
            <w:r>
              <w:rPr>
                <w:rFonts w:hint="eastAsia" w:ascii="Times New Roman" w:hAnsi="Times New Roman" w:eastAsia="仿宋_GB2312" w:cs="Times New Roman"/>
                <w:kern w:val="0"/>
                <w:sz w:val="22"/>
                <w:szCs w:val="22"/>
                <w:lang w:eastAsia="zh-CN" w:bidi="ar"/>
              </w:rPr>
              <w:t>；</w:t>
            </w:r>
          </w:p>
          <w:p w14:paraId="382E3568">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（三）主要与血液接触的植入性无菌医疗器械或单包装出厂的配件，其末道清洁处理、组装、初包装、封口的生产区域和不经清洁处理零部件的加工生产区域应当不低于10,000级洁净度级别</w:t>
            </w:r>
            <w:r>
              <w:rPr>
                <w:rFonts w:hint="eastAsia" w:ascii="Times New Roman" w:hAnsi="Times New Roman" w:eastAsia="仿宋_GB2312" w:cs="Times New Roman"/>
                <w:kern w:val="0"/>
                <w:sz w:val="22"/>
                <w:szCs w:val="22"/>
                <w:lang w:eastAsia="zh-CN" w:bidi="ar"/>
              </w:rPr>
              <w:t>；</w:t>
            </w:r>
          </w:p>
          <w:p w14:paraId="22273151">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（四）与人体损伤表面和粘膜接触的植入性无菌医疗器械或单包装出厂的零部件，其末道清洁处理、组装、初包装、封口的生产区域和不经清洁处理零部件的加工生产区域应当不低于300,000级洁净度级别</w:t>
            </w:r>
            <w:r>
              <w:rPr>
                <w:rFonts w:hint="eastAsia" w:ascii="Times New Roman" w:hAnsi="Times New Roman" w:eastAsia="仿宋_GB2312" w:cs="Times New Roman"/>
                <w:kern w:val="0"/>
                <w:sz w:val="22"/>
                <w:szCs w:val="22"/>
                <w:lang w:eastAsia="zh-CN" w:bidi="ar"/>
              </w:rPr>
              <w:t>；</w:t>
            </w:r>
          </w:p>
          <w:p w14:paraId="3DB142DF">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五）与植入性的无菌医疗器械的使用表面直接接触、不需清洁处理即使用的初包装材料，其生产环境洁净度级别的设置应当遵循与产品生产环境的洁净度级别相同的原则，使初包装材料的质量满足所包装无菌医疗器械的要求；若初包装材料不与植入性无菌医疗器械使用表面直接接触，应当在不低于300,000级洁净室（区）内生产</w:t>
            </w:r>
            <w:r>
              <w:rPr>
                <w:rFonts w:hint="eastAsia" w:ascii="Times New Roman" w:hAnsi="Times New Roman" w:eastAsia="仿宋_GB2312" w:cs="Times New Roman"/>
                <w:kern w:val="0"/>
                <w:sz w:val="22"/>
                <w:szCs w:val="22"/>
                <w:lang w:eastAsia="zh-CN" w:bidi="ar"/>
              </w:rPr>
              <w:t>；</w:t>
            </w:r>
          </w:p>
          <w:p w14:paraId="08DC38E4">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（六）对于有要求或采用无菌操作技术加工的植入性无菌医疗器械（包括医用材料），应当在10,000级下的局部100级洁净室（区）内进行生产。100级的洁净室（区）内不得设置地漏</w:t>
            </w:r>
            <w:r>
              <w:rPr>
                <w:rFonts w:hint="eastAsia" w:ascii="Times New Roman" w:hAnsi="Times New Roman" w:eastAsia="仿宋_GB2312" w:cs="Times New Roman"/>
                <w:kern w:val="0"/>
                <w:sz w:val="22"/>
                <w:szCs w:val="22"/>
                <w:lang w:eastAsia="zh-CN" w:bidi="ar"/>
              </w:rPr>
              <w:t>；</w:t>
            </w:r>
          </w:p>
          <w:p w14:paraId="26F5F888">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（七）对植入性的非无菌医疗器械或使用前预期灭菌的医疗器械，如果通过确认的产品清洁、包装过程能将污染降低并保持稳定的控制水平，应当建立一个受控的环境来确保该确认的清洁和包装过程</w:t>
            </w:r>
            <w:r>
              <w:rPr>
                <w:rFonts w:hint="eastAsia" w:ascii="Times New Roman" w:hAnsi="Times New Roman" w:eastAsia="仿宋_GB2312" w:cs="Times New Roman"/>
                <w:kern w:val="0"/>
                <w:sz w:val="22"/>
                <w:szCs w:val="22"/>
                <w:lang w:eastAsia="zh-CN" w:bidi="ar"/>
              </w:rPr>
              <w:t>；</w:t>
            </w:r>
          </w:p>
          <w:p w14:paraId="3C0CA0A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八）洁净工作服清洗干燥间、洁具间、专用工位器具的末道清洁处理与消毒的区域的空气洁净度级别可低于生产区一个级别，但不得低于300000级。无菌工作服的整理、灭菌后的贮存应当在10,000级洁净室（区）内。</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070273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38D92EB">
            <w:pPr>
              <w:widowControl/>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2.2.2、2.2.11、2.2.3、2.2.4、2.2.5、2.2.6、2.2.7、2.2.8、2.2.9、2.2.18、2.6.14</w:t>
            </w:r>
          </w:p>
          <w:p w14:paraId="149E020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eastAsia="zh-CN" w:bidi="ar"/>
              </w:rPr>
              <w:t>、</w:t>
            </w:r>
            <w:r>
              <w:rPr>
                <w:rFonts w:hint="default" w:ascii="Times New Roman" w:hAnsi="Times New Roman" w:eastAsia="仿宋_GB2312" w:cs="Times New Roman"/>
                <w:kern w:val="0"/>
                <w:sz w:val="22"/>
                <w:szCs w:val="22"/>
                <w:lang w:bidi="ar"/>
              </w:rPr>
              <w:t>2.2.15</w:t>
            </w:r>
          </w:p>
        </w:tc>
      </w:tr>
      <w:tr w14:paraId="722AD1F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0E20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50E8CF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B15B0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59844B0">
            <w:pPr>
              <w:widowControl/>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洁净室（区）空气净化系统应当经过确认并保持连续运行，维持相应的洁净度级别，并在一定周期后进行再确认。若停机后再次开启空气净化系统，应当进行必要的测试或验证，以确认仍能达到规定的洁净度级别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53CCA2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F523A9">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2.3.2</w:t>
            </w:r>
          </w:p>
        </w:tc>
      </w:tr>
      <w:tr w14:paraId="45A6357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B81B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229A2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E9432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4.7.5</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BA7800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企业应当按照医疗器械相关行业标准要求对洁净室（区）的尘粒、浮游菌或沉降菌、换气次数或风速、静压差、温度和相对湿度进行定期检（监）测，并保存检（监）测记录。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D07CB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4498375">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2.7.3</w:t>
            </w:r>
          </w:p>
        </w:tc>
      </w:tr>
      <w:tr w14:paraId="15162F5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9E1D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2CC914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1F1F95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4.7.6</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B8A426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企业应当确定所需要的工艺用水。当生产过程中使用工艺用水时，应当配备相应的制水设备，并有防止污染的措施，用量较大时应当通过管道输送至洁净室（区）的用水点。工艺用水应当满足产品质量的要求。</w:t>
            </w:r>
          </w:p>
          <w:p w14:paraId="255D9F6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b/>
                <w:bCs/>
                <w:kern w:val="0"/>
                <w:sz w:val="22"/>
                <w:szCs w:val="22"/>
                <w:lang w:eastAsia="zh-CN" w:bidi="ar"/>
              </w:rPr>
              <w:t>注：原则上，</w:t>
            </w:r>
            <w:r>
              <w:rPr>
                <w:rFonts w:hint="default" w:ascii="Times New Roman" w:hAnsi="Times New Roman" w:eastAsia="仿宋_GB2312" w:cs="Times New Roman"/>
                <w:b/>
                <w:bCs/>
                <w:kern w:val="0"/>
                <w:sz w:val="22"/>
                <w:szCs w:val="22"/>
                <w:lang w:bidi="ar"/>
              </w:rPr>
              <w:t>水是最终产品的组成成分时，应当使用符合《中国药典》要求的注射用水</w:t>
            </w:r>
            <w:r>
              <w:rPr>
                <w:rFonts w:hint="default" w:ascii="Times New Roman" w:hAnsi="Times New Roman" w:eastAsia="仿宋_GB2312" w:cs="Times New Roman"/>
                <w:b/>
                <w:bCs/>
                <w:kern w:val="0"/>
                <w:sz w:val="22"/>
                <w:szCs w:val="22"/>
                <w:lang w:eastAsia="zh-CN" w:bidi="ar"/>
              </w:rPr>
              <w:t>；</w:t>
            </w:r>
            <w:r>
              <w:rPr>
                <w:rFonts w:hint="default" w:ascii="Times New Roman" w:hAnsi="Times New Roman" w:eastAsia="仿宋_GB2312" w:cs="Times New Roman"/>
                <w:b/>
                <w:bCs/>
                <w:kern w:val="0"/>
                <w:sz w:val="22"/>
                <w:szCs w:val="22"/>
                <w:lang w:bidi="ar"/>
              </w:rPr>
              <w:t>对于直接或间接接触心血管系统、淋巴系统或脑脊髓液或药液的无菌医疗器械，末道清洗应当使用符合《中国药典》要求的注射用水</w:t>
            </w:r>
            <w:r>
              <w:rPr>
                <w:rFonts w:hint="default" w:ascii="Times New Roman" w:hAnsi="Times New Roman" w:eastAsia="仿宋_GB2312" w:cs="Times New Roman"/>
                <w:b/>
                <w:bCs/>
                <w:kern w:val="0"/>
                <w:sz w:val="22"/>
                <w:szCs w:val="22"/>
                <w:lang w:eastAsia="zh-CN" w:bidi="ar"/>
              </w:rPr>
              <w:t>；</w:t>
            </w:r>
            <w:r>
              <w:rPr>
                <w:rFonts w:hint="default" w:ascii="Times New Roman" w:hAnsi="Times New Roman" w:eastAsia="仿宋_GB2312" w:cs="Times New Roman"/>
                <w:b/>
                <w:bCs/>
                <w:kern w:val="0"/>
                <w:sz w:val="22"/>
                <w:szCs w:val="22"/>
                <w:lang w:bidi="ar"/>
              </w:rPr>
              <w:t>与人体组织、骨腔或自然腔体接触的无菌医疗器械，末道清洗用水应当使用符合《中国药典》要求的纯化水</w:t>
            </w:r>
            <w:r>
              <w:rPr>
                <w:rFonts w:hint="default" w:ascii="Times New Roman" w:hAnsi="Times New Roman" w:eastAsia="仿宋_GB2312" w:cs="Times New Roman"/>
                <w:b/>
                <w:bCs/>
                <w:kern w:val="0"/>
                <w:sz w:val="22"/>
                <w:szCs w:val="22"/>
                <w:lang w:eastAsia="zh-CN" w:bidi="ar"/>
              </w:rPr>
              <w:t>；</w:t>
            </w:r>
            <w:r>
              <w:rPr>
                <w:rFonts w:hint="default" w:ascii="Times New Roman" w:hAnsi="Times New Roman" w:eastAsia="仿宋_GB2312" w:cs="Times New Roman"/>
                <w:b/>
                <w:bCs/>
                <w:kern w:val="0"/>
                <w:sz w:val="22"/>
                <w:szCs w:val="22"/>
                <w:lang w:bidi="ar"/>
              </w:rPr>
              <w:t>其他植入性医疗器械末道清洗用水应当使用符合《中国药典》要求的纯化水。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774D51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 xml:space="preserve">*** </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9F7375D">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2.3.3</w:t>
            </w:r>
          </w:p>
        </w:tc>
      </w:tr>
      <w:tr w14:paraId="4A1F053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EA29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3EDFBC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EDF1B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4.7.7</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451DF5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企业应当制定工艺用水的管理文件，工艺用水的储罐和输送管道应当满足产品要求，并定期清洗、消毒。</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5A9594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1139135">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2.3.4</w:t>
            </w:r>
          </w:p>
        </w:tc>
      </w:tr>
      <w:tr w14:paraId="3B9324F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0C85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6158EF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1001C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4.7.8</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FFDC54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企业应当对工艺用水进行监控和定期检测，并保持监控记录和检测报告。</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822A50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A06FA08">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2.7.2</w:t>
            </w:r>
          </w:p>
        </w:tc>
      </w:tr>
      <w:tr w14:paraId="64DB284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05FE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330EA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38B59C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4.7.9</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2A2EE1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洁净室（区）内使用的压缩空气等工艺用气均应当经过净化处理。与产品使用表面直接接触的气体，其对产品的影响程度应当进行验证和控制，以适应所生产产品的要求。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5940D6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C1E073">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2.2.16</w:t>
            </w:r>
          </w:p>
        </w:tc>
      </w:tr>
      <w:tr w14:paraId="4982C12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B084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A0548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B32B11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C96689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环境有洁净级别要求的，洁净区与非洁净区之间静压差应当大于10帕斯卡，不同级别洁净区之间静压差应当大于5帕斯卡，并应有指示压差的装置。必要时，相同洁净度级别不同功能区域（操作间）之间也应当保持适当压差梯度。</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E2809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286709D">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《规范》第三十二条</w:t>
            </w:r>
            <w:r>
              <w:rPr>
                <w:rFonts w:hint="eastAsia" w:ascii="Times New Roman" w:hAnsi="Times New Roman" w:eastAsia="仿宋_GB2312" w:cs="Times New Roman"/>
                <w:kern w:val="0"/>
                <w:sz w:val="22"/>
                <w:szCs w:val="22"/>
                <w:lang w:eastAsia="zh-CN" w:bidi="ar"/>
              </w:rPr>
              <w:t>，</w:t>
            </w:r>
          </w:p>
          <w:p w14:paraId="4A8453B0">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2.2.2</w:t>
            </w:r>
          </w:p>
        </w:tc>
      </w:tr>
      <w:tr w14:paraId="0E6E9AF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E21F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A44307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0DEAC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AF2B29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生产过程中产生大量粉尘、烟雾、毒害物等的操作区域应当保持相对负压，排至室外的废气应当经过净化处理并符合要求。厂房和设备还需针对上述有害物质及射线、紫外线等安装相应防护装置。</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207C92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75E695">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《规范》第三十二条</w:t>
            </w:r>
          </w:p>
          <w:p w14:paraId="3631E628">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w:t>
            </w:r>
          </w:p>
        </w:tc>
      </w:tr>
      <w:tr w14:paraId="2E6793C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1393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93016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DC37A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DAB69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生产、检验、贮存等过程中使用信息化系统的，企业应当配备满足预定用途的硬件设施和软件运行环境，并采取适宜措施防止外来因素干扰。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CE26B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FEFA0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《规范》第三十三条</w:t>
            </w:r>
          </w:p>
        </w:tc>
      </w:tr>
      <w:tr w14:paraId="35F7937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BA6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A32B38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0D47F8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DC3B0C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生产、检验和贮存区不应作为非本区工作人员的直接通道。企业应当采取适宜措施，防止未经批准人员进入。</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067B8D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0CF231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《规范》第三十四条</w:t>
            </w:r>
          </w:p>
        </w:tc>
      </w:tr>
      <w:tr w14:paraId="51870D8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F01E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2C183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36AEE9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81A398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企业应当保存厂房和设施相关的文档，包括但不限于总平面布局图、生产区域分布图、使用说明、维护保养规定等。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61E85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D57038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《规范》第三十五条</w:t>
            </w:r>
          </w:p>
        </w:tc>
      </w:tr>
      <w:tr w14:paraId="010328CE">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BE0552">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 xml:space="preserve">第五章 </w:t>
            </w:r>
          </w:p>
          <w:p w14:paraId="7D77EA0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设备</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C7EEB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D243F5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916609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企业应当配备与所生产产品和规模相匹配的生产设备、检验仪器和设备、工装夹具等，并确保有效运行。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A3529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B0FC73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《规范》第三十六条</w:t>
            </w:r>
          </w:p>
        </w:tc>
      </w:tr>
      <w:tr w14:paraId="3D02A2C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70B2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EE258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DB9A3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D31BC1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设备和仪器的设计、选型、安装、维护和维修应当符合预定用途，便于操作、清洁和维护。</w:t>
            </w:r>
          </w:p>
          <w:p w14:paraId="73F35ED7">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（一）生产设备、工装夹具和工位器具应当符合洁净环境控制和工艺文件的要求</w:t>
            </w:r>
            <w:r>
              <w:rPr>
                <w:rFonts w:hint="eastAsia" w:ascii="Times New Roman" w:hAnsi="Times New Roman" w:eastAsia="仿宋_GB2312" w:cs="Times New Roman"/>
                <w:kern w:val="0"/>
                <w:sz w:val="22"/>
                <w:szCs w:val="22"/>
                <w:lang w:eastAsia="zh-CN" w:bidi="ar"/>
              </w:rPr>
              <w:t>；</w:t>
            </w:r>
          </w:p>
          <w:p w14:paraId="0198C3F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（二）与原材料或产品直接接触的设备、工装夹具及管道表面应当光洁、平整、无颗粒物质脱落、无毒、耐腐蚀，不与原材料或产品发生化学反应和粘连，易于清洁处理、消毒或灭菌。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2637B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1AAC385">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《规范》第三十六条</w:t>
            </w:r>
            <w:r>
              <w:rPr>
                <w:rFonts w:hint="eastAsia" w:ascii="Times New Roman" w:hAnsi="Times New Roman" w:eastAsia="仿宋_GB2312" w:cs="Times New Roman"/>
                <w:kern w:val="0"/>
                <w:sz w:val="22"/>
                <w:szCs w:val="22"/>
                <w:lang w:eastAsia="zh-CN" w:bidi="ar"/>
              </w:rPr>
              <w:t>，</w:t>
            </w:r>
          </w:p>
          <w:p w14:paraId="3833E2BC">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2.3.1、2.3.5、2.6.17</w:t>
            </w:r>
          </w:p>
        </w:tc>
      </w:tr>
      <w:tr w14:paraId="78F0191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BAD2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88D62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FAFF52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4B9298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企业应当建立设备和仪器档案，包括但不限于采购、安装、确认等文件和记录。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43AFC5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A58A49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《规范》第三十七条</w:t>
            </w:r>
          </w:p>
        </w:tc>
      </w:tr>
      <w:tr w14:paraId="4C31B22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2F85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34BA8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D9C90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47AB03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企业应当建立主要设备和仪器的使用、维护和维修操作规程，保留相关记录，确保相关活动可追溯。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945F67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97E2B9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《规范》第三十八条</w:t>
            </w:r>
          </w:p>
        </w:tc>
      </w:tr>
      <w:tr w14:paraId="731CA46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AEE4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5E30E0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1C499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163DC4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企业应当标明主要设备、仪器和工装夹具的编号与名称。出现异常情况时，应当配备异常状态标识，防止非预期使用。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C1FF99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42F634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《规范》第三十九条</w:t>
            </w:r>
          </w:p>
        </w:tc>
      </w:tr>
      <w:tr w14:paraId="24A578E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F265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399CC7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EDB6B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13BC3A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企业应当按照操作规程和校准或者检定计划，定期对主要设备和仪器进行校准或者检定，校准的量程范围应当涵盖实际使用范围。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885D4C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27052E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《规范》第四十条</w:t>
            </w:r>
          </w:p>
        </w:tc>
      </w:tr>
      <w:tr w14:paraId="1139350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C096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5BE7C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06B9F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464BD8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企业应当配备适当的计量器具，计量器具的量程和精度应当满足使用要求，并标明校准或者检定有效期。</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519F51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31CA5C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《规范》第四十条</w:t>
            </w:r>
          </w:p>
        </w:tc>
      </w:tr>
      <w:tr w14:paraId="093F924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B86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B1AE3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77473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5.5.3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61373B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企业应当保留校准或者检定记录。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B1E8FF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5B5C07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《规范》第四十条</w:t>
            </w:r>
          </w:p>
        </w:tc>
      </w:tr>
      <w:tr w14:paraId="1F11D38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5370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9BD85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85779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CAC8BD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企业应当对经过改造或者重大维修的设备和仪器进行再确认，符合要求后方可使用。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626F29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FB00E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《规范》第四十一条</w:t>
            </w:r>
          </w:p>
        </w:tc>
      </w:tr>
      <w:tr w14:paraId="11DA89FC">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A4C543">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第六章</w:t>
            </w:r>
          </w:p>
          <w:p w14:paraId="7DA199B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文件和数据管理</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10169D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D8D9E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BEE65B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企业应当建立健全质量管理体系文件，包括质量方针和质量目标、质量手册、程序文件、技术文件和记录，以及法规要求的其他文件。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66538A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486282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《规范》第四十二条</w:t>
            </w:r>
          </w:p>
        </w:tc>
      </w:tr>
      <w:tr w14:paraId="59E13A5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7145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2AD58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FF17B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AB44DA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质量手册应当对质量管理体系作出规定。程序文件应当根据产品设计开发、生产和质量管理等活动的实际需要制定，包含本规范所规定的各项程序。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8B65E2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57C29B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《规范》第四十二条</w:t>
            </w:r>
          </w:p>
        </w:tc>
      </w:tr>
      <w:tr w14:paraId="7B74D88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F8D0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A7C86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C87AC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6.1.3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E0F735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技术文件应当包括产品技术要求以及相关标准、生产工艺规程、作业指导书、检验和试验操作规程、安装和服务操作规程等。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E408CC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CC8EAF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《规范》第四十二条</w:t>
            </w:r>
          </w:p>
        </w:tc>
      </w:tr>
      <w:tr w14:paraId="35F459D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4AE3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4B604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84B963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2979C30">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企业应当建立文件控制程序，系统设计、制定、审核、批准、发放和保存质量管理体系文件，并符合下列要求：</w:t>
            </w:r>
          </w:p>
          <w:p w14:paraId="3264A042">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（一）文件的起草、修订、审核、批准、替换或者撤销、复制、保管和销毁等应当按照文件控制程序管理，并有相应分发、替换或者撤销、销毁记录；应当根据文件不同用途与类型，明确适宜受控方法；</w:t>
            </w:r>
          </w:p>
          <w:p w14:paraId="6DCC0A2A">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（二）修订或者更新文件时，应当经过评审和批准，并确保能够识别文件修订或者更新状态；</w:t>
            </w:r>
          </w:p>
          <w:p w14:paraId="4D3B2CB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（三）分发和使用的文件应当为适宜文本，已撤销或者作废文件应当进行标识，防止误用；</w:t>
            </w:r>
          </w:p>
          <w:p w14:paraId="2D05DF9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（四）明确必要的质量管理体系文件如技术文件等作废后的保存期限，以满足产品维修和产品质量责任追溯等需要。</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31CD20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D287F2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《规范》第四十三条</w:t>
            </w:r>
          </w:p>
        </w:tc>
      </w:tr>
      <w:tr w14:paraId="08C7C21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68CF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C99E57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073BF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68B0C3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企业应当指定部门或者人员负责识别医疗器械相关法律、法规、规范、标准等外部文件变化情况，及时更新质量管理体系文件。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0FEF49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918D13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《规范》第四十四条</w:t>
            </w:r>
          </w:p>
        </w:tc>
      </w:tr>
      <w:tr w14:paraId="4CAEB87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DDCD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985E2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E9AEA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7D88A2F">
            <w:pPr>
              <w:widowControl/>
              <w:jc w:val="left"/>
              <w:textAlignment w:val="center"/>
              <w:rPr>
                <w:rFonts w:hint="default" w:ascii="Times New Roman" w:hAnsi="Times New Roman" w:eastAsia="仿宋_GB2312" w:cs="Times New Roman"/>
                <w:color w:val="auto"/>
                <w:kern w:val="0"/>
                <w:sz w:val="22"/>
                <w:szCs w:val="22"/>
                <w:lang w:bidi="ar"/>
              </w:rPr>
            </w:pPr>
            <w:r>
              <w:rPr>
                <w:rFonts w:hint="default" w:ascii="Times New Roman" w:hAnsi="Times New Roman" w:eastAsia="仿宋_GB2312" w:cs="Times New Roman"/>
                <w:color w:val="auto"/>
                <w:kern w:val="0"/>
                <w:sz w:val="22"/>
                <w:szCs w:val="22"/>
                <w:lang w:bidi="ar"/>
              </w:rPr>
              <w:t>企业应当建立记录控制程序，包括记录的标识、保管、检索、保存期限和处置要求等，并符合下列要求：</w:t>
            </w:r>
          </w:p>
          <w:p w14:paraId="3FD1090C">
            <w:pPr>
              <w:widowControl/>
              <w:jc w:val="left"/>
              <w:textAlignment w:val="center"/>
              <w:rPr>
                <w:rFonts w:hint="default" w:ascii="Times New Roman" w:hAnsi="Times New Roman" w:eastAsia="仿宋_GB2312" w:cs="Times New Roman"/>
                <w:color w:val="auto"/>
                <w:kern w:val="0"/>
                <w:sz w:val="22"/>
                <w:szCs w:val="22"/>
                <w:lang w:bidi="ar"/>
              </w:rPr>
            </w:pPr>
            <w:r>
              <w:rPr>
                <w:rFonts w:hint="default" w:ascii="Times New Roman" w:hAnsi="Times New Roman" w:eastAsia="仿宋_GB2312" w:cs="Times New Roman"/>
                <w:color w:val="auto"/>
                <w:kern w:val="0"/>
                <w:sz w:val="22"/>
                <w:szCs w:val="22"/>
                <w:lang w:bidi="ar"/>
              </w:rPr>
              <w:t xml:space="preserve">（一）记录应当保证产品设计开发、生产、质量控制和产品放行等活动可追溯； </w:t>
            </w:r>
          </w:p>
          <w:p w14:paraId="1DD9AC1C">
            <w:pPr>
              <w:widowControl/>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lang w:bidi="ar"/>
              </w:rPr>
              <w:t>（二）记录应当真实、准确、完整、及时、清晰，易于识别和检索，防止破损和丢失；</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5E313A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7D2C1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《规范》第四十五条</w:t>
            </w:r>
          </w:p>
        </w:tc>
      </w:tr>
      <w:tr w14:paraId="5E05C57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935F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4D931D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027AD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314DA02">
            <w:pPr>
              <w:widowControl/>
              <w:jc w:val="left"/>
              <w:textAlignment w:val="center"/>
              <w:rPr>
                <w:rFonts w:hint="default" w:ascii="Times New Roman" w:hAnsi="Times New Roman" w:eastAsia="仿宋_GB2312" w:cs="Times New Roman"/>
                <w:color w:val="auto"/>
                <w:kern w:val="0"/>
                <w:sz w:val="22"/>
                <w:szCs w:val="22"/>
                <w:lang w:bidi="ar"/>
              </w:rPr>
            </w:pPr>
            <w:r>
              <w:rPr>
                <w:rFonts w:hint="default" w:ascii="Times New Roman" w:hAnsi="Times New Roman" w:eastAsia="仿宋_GB2312" w:cs="Times New Roman"/>
                <w:color w:val="auto"/>
                <w:kern w:val="0"/>
                <w:sz w:val="22"/>
                <w:szCs w:val="22"/>
                <w:lang w:bidi="ar"/>
              </w:rPr>
              <w:t>（三）记录不得随意涂改或者销毁，必须更改时，应当注明更改理由、更改人员和日期，原有信息清晰可辨；</w:t>
            </w:r>
          </w:p>
          <w:p w14:paraId="7FBDA2E7">
            <w:pPr>
              <w:widowControl/>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lang w:bidi="ar"/>
              </w:rPr>
              <w:t>（四）记录保存期限至少应当与企业所规定的医疗器械寿命期保持一致或者符合相关法规要求，且自产品放行之日起不少于2年。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A8D69B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ADAAB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《规范》第四十五条</w:t>
            </w:r>
          </w:p>
        </w:tc>
      </w:tr>
      <w:tr w14:paraId="69AF516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B221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2D1A44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03AEA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17E73F">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采用信息化管理方式的，企业应当确保电子记录或者数据真实、准确、完整、及时和可追溯，并符合下列要求：</w:t>
            </w:r>
          </w:p>
          <w:p w14:paraId="3F936FE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（一）建立用户权限管理，确保可能对电子记录或者数据真实准确产生影响的权限得到有效控制；</w:t>
            </w:r>
          </w:p>
          <w:p w14:paraId="66653B93">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（二）电子记录或者数据更改、删除应当由经授权的人员操作，保留更改、删除记录；</w:t>
            </w:r>
          </w:p>
          <w:p w14:paraId="7C2EA989">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（三）电子记录或者数据应当进行备份，保存期限应当不低于本章定义的记录保存期限，且在保存期内便于查阅；</w:t>
            </w:r>
          </w:p>
          <w:p w14:paraId="5F165BB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（四）采用电子签名的，应当符合相关法律法规要求。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8FC019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293F5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《规范》第四十六条</w:t>
            </w:r>
          </w:p>
        </w:tc>
      </w:tr>
      <w:tr w14:paraId="3D6D785C">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493B9A">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第七章</w:t>
            </w:r>
          </w:p>
          <w:p w14:paraId="34E5CFC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60E6C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61C2E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B5BF8F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408C60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BA018B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《规范》第四十七条</w:t>
            </w:r>
          </w:p>
        </w:tc>
      </w:tr>
      <w:tr w14:paraId="5E93953A">
        <w:tblPrEx>
          <w:tblCellMar>
            <w:top w:w="0" w:type="dxa"/>
            <w:left w:w="108" w:type="dxa"/>
            <w:bottom w:w="0" w:type="dxa"/>
            <w:right w:w="108" w:type="dxa"/>
          </w:tblCellMar>
        </w:tblPrEx>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D01B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55BF19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A4441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E6CC755">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企业应当将风险管理理念贯穿到设计开发至产品实现全过程，制定相关要求并形成文件，使用风险管理方法和工具开展风险管理活动并保留相关记录。</w:t>
            </w:r>
          </w:p>
          <w:p w14:paraId="2D9E49AB">
            <w:pPr>
              <w:widowControl/>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（一）有源植入性医疗器械的设计与制造应当将与能源使用有关的风险，特别是与绝缘、漏电及过热有关的风险，降至最低</w:t>
            </w:r>
            <w:r>
              <w:rPr>
                <w:rFonts w:hint="eastAsia" w:ascii="Times New Roman" w:hAnsi="Times New Roman" w:eastAsia="仿宋_GB2312" w:cs="Times New Roman"/>
                <w:kern w:val="0"/>
                <w:sz w:val="22"/>
                <w:szCs w:val="22"/>
                <w:lang w:eastAsia="zh-CN" w:bidi="ar"/>
              </w:rPr>
              <w:t>；</w:t>
            </w:r>
          </w:p>
          <w:p w14:paraId="5F3DF7F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（二）植入性的动物源医疗器械生产企业应当对用于医疗器械生产的动物源性供体进行风险分析和管理，对所需供体可能感染病毒和传染性病原体进行安全性控制并保存资料。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DB2B8D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B29D9BA">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《规范》第四十八条</w:t>
            </w:r>
            <w:r>
              <w:rPr>
                <w:rFonts w:hint="eastAsia" w:ascii="Times New Roman" w:hAnsi="Times New Roman" w:eastAsia="仿宋_GB2312" w:cs="Times New Roman"/>
                <w:kern w:val="0"/>
                <w:sz w:val="22"/>
                <w:szCs w:val="22"/>
                <w:lang w:eastAsia="zh-CN" w:bidi="ar"/>
              </w:rPr>
              <w:t>，</w:t>
            </w:r>
          </w:p>
          <w:p w14:paraId="1B9B1174">
            <w:pPr>
              <w:widowControl/>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2.4.1</w:t>
            </w:r>
          </w:p>
          <w:p w14:paraId="49EB1DA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2.5.4</w:t>
            </w:r>
          </w:p>
        </w:tc>
      </w:tr>
      <w:tr w14:paraId="2ED59DDC">
        <w:tblPrEx>
          <w:tblCellMar>
            <w:top w:w="0" w:type="dxa"/>
            <w:left w:w="108" w:type="dxa"/>
            <w:bottom w:w="0" w:type="dxa"/>
            <w:right w:w="108" w:type="dxa"/>
          </w:tblCellMar>
        </w:tblPrEx>
        <w:trPr>
          <w:cantSplit/>
          <w:trHeight w:val="1020"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8C26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005BB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88E09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F9E3F6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企业应当根据产品特性对设计开发进行策划，明确设计开发输入、输出、转换、验证与确认等阶段需要开展的具体活动。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370352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AD8E9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《规范》第四十九条</w:t>
            </w:r>
          </w:p>
        </w:tc>
      </w:tr>
      <w:tr w14:paraId="44B36CD3">
        <w:tblPrEx>
          <w:tblCellMar>
            <w:top w:w="0" w:type="dxa"/>
            <w:left w:w="108" w:type="dxa"/>
            <w:bottom w:w="0" w:type="dxa"/>
            <w:right w:w="108" w:type="dxa"/>
          </w:tblCellMar>
        </w:tblPrEx>
        <w:trPr>
          <w:cantSplit/>
          <w:trHeight w:val="1984"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2194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A67665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6011CE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E190F9">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289D9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71A2D3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《规范》第四十九条</w:t>
            </w:r>
          </w:p>
        </w:tc>
      </w:tr>
      <w:tr w14:paraId="0814E602">
        <w:tblPrEx>
          <w:tblCellMar>
            <w:top w:w="0" w:type="dxa"/>
            <w:left w:w="108" w:type="dxa"/>
            <w:bottom w:w="0" w:type="dxa"/>
            <w:right w:w="108" w:type="dxa"/>
          </w:tblCellMar>
        </w:tblPrEx>
        <w:trPr>
          <w:cantSplit/>
          <w:trHeight w:val="1020"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21DA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960DD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2AA34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8A80D2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设计开发输入至少应当包括根据用户需求以及预期用途所确定的功能、性能、安全以及法规、标准、风险控制措施等要求。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B53FE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A39DCB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《规范》第五十条</w:t>
            </w:r>
          </w:p>
        </w:tc>
      </w:tr>
      <w:tr w14:paraId="48169371">
        <w:tblPrEx>
          <w:tblCellMar>
            <w:top w:w="0" w:type="dxa"/>
            <w:left w:w="108" w:type="dxa"/>
            <w:bottom w:w="0" w:type="dxa"/>
            <w:right w:w="108" w:type="dxa"/>
          </w:tblCellMar>
        </w:tblPrEx>
        <w:trPr>
          <w:cantSplit/>
          <w:trHeight w:val="680"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7C4F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F292C6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FA9D4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D6CEF0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设计开发输入要求应当清晰、完整，并经过评审和批准。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4D951C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D3B255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《规范》第五十条</w:t>
            </w:r>
          </w:p>
        </w:tc>
      </w:tr>
      <w:tr w14:paraId="257A1F0C">
        <w:tblPrEx>
          <w:tblCellMar>
            <w:top w:w="0" w:type="dxa"/>
            <w:left w:w="108" w:type="dxa"/>
            <w:bottom w:w="0" w:type="dxa"/>
            <w:right w:w="108" w:type="dxa"/>
          </w:tblCellMar>
        </w:tblPrEx>
        <w:trPr>
          <w:cantSplit/>
          <w:trHeight w:val="680"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D65CB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613044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5F200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850E2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设计开发输出应当满足各阶段的输入要求。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D05E96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71AFF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《规范》第五十一条</w:t>
            </w:r>
          </w:p>
        </w:tc>
      </w:tr>
      <w:tr w14:paraId="61D9F437">
        <w:tblPrEx>
          <w:tblCellMar>
            <w:top w:w="0" w:type="dxa"/>
            <w:left w:w="108" w:type="dxa"/>
            <w:bottom w:w="0" w:type="dxa"/>
            <w:right w:w="108" w:type="dxa"/>
          </w:tblCellMar>
        </w:tblPrEx>
        <w:trPr>
          <w:cantSplit/>
          <w:trHeight w:val="2268"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EBFC7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31C20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B507E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B98E3B1">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设计开发输出至少应当包括采购、生产、检验、使用和服务所需的相关信息以及产品技术要求等。设计开发输出应当经过验证并得到批准。</w:t>
            </w:r>
          </w:p>
          <w:p w14:paraId="457AA6C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应当选择适宜的方法对产品进行灭菌或采用适宜的无菌加工技术以保证产品无菌，并执行相关法规和标准的要求。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B88454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FDBA98F">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《规范》第五十一条</w:t>
            </w:r>
            <w:r>
              <w:rPr>
                <w:rFonts w:hint="eastAsia" w:ascii="Times New Roman" w:hAnsi="Times New Roman" w:eastAsia="仿宋_GB2312" w:cs="Times New Roman"/>
                <w:kern w:val="0"/>
                <w:sz w:val="22"/>
                <w:szCs w:val="22"/>
                <w:lang w:eastAsia="zh-CN" w:bidi="ar"/>
              </w:rPr>
              <w:t>，</w:t>
            </w:r>
          </w:p>
          <w:p w14:paraId="09D0844B">
            <w:pPr>
              <w:widowControl/>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2.6.8</w:t>
            </w:r>
          </w:p>
          <w:p w14:paraId="57B43C64">
            <w:pPr>
              <w:widowControl/>
              <w:jc w:val="center"/>
              <w:textAlignment w:val="center"/>
              <w:rPr>
                <w:rFonts w:hint="default" w:ascii="Times New Roman" w:hAnsi="Times New Roman" w:eastAsia="仿宋_GB2312" w:cs="Times New Roman"/>
                <w:sz w:val="22"/>
                <w:szCs w:val="22"/>
              </w:rPr>
            </w:pPr>
          </w:p>
        </w:tc>
      </w:tr>
      <w:tr w14:paraId="245DEF2F">
        <w:tblPrEx>
          <w:tblCellMar>
            <w:top w:w="0" w:type="dxa"/>
            <w:left w:w="108" w:type="dxa"/>
            <w:bottom w:w="0" w:type="dxa"/>
            <w:right w:w="108" w:type="dxa"/>
          </w:tblCellMar>
        </w:tblPrEx>
        <w:trPr>
          <w:cantSplit/>
          <w:trHeight w:val="1984"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B723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69DA14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6C1340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DF1B89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AA6BF4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5CD10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《规范》第五十二条</w:t>
            </w:r>
          </w:p>
        </w:tc>
      </w:tr>
      <w:tr w14:paraId="095C6EA3">
        <w:tblPrEx>
          <w:tblCellMar>
            <w:top w:w="0" w:type="dxa"/>
            <w:left w:w="108" w:type="dxa"/>
            <w:bottom w:w="0" w:type="dxa"/>
            <w:right w:w="108" w:type="dxa"/>
          </w:tblCellMar>
        </w:tblPrEx>
        <w:trPr>
          <w:cantSplit/>
          <w:trHeight w:val="1020" w:hRule="atLeas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CA5E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5DF1BE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28952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46530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企业应当在设计开发的适宜阶段进行评审，持续评价设计开发输出满足输入要求的能力，识别问题并提出必要的改进措施。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80E802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42633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《规范》第五十三条</w:t>
            </w:r>
          </w:p>
        </w:tc>
      </w:tr>
      <w:tr w14:paraId="5BB1756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18A5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66596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2481F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D649964">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企业应当对设计开发进行验证，确保设计开发输出满足输入要求。</w:t>
            </w:r>
          </w:p>
          <w:p w14:paraId="794DBFE4">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（一）含有同种异体材料、动物源性材料或生物活性物质等具有生物安全风险类的植入性医疗器械，在研制开发过程中应当对相关材料及生物活性物质的生物安全性进行验证并形成文件</w:t>
            </w:r>
            <w:r>
              <w:rPr>
                <w:rFonts w:hint="eastAsia" w:ascii="Times New Roman" w:hAnsi="Times New Roman" w:eastAsia="仿宋_GB2312" w:cs="Times New Roman"/>
                <w:kern w:val="0"/>
                <w:sz w:val="22"/>
                <w:szCs w:val="22"/>
                <w:lang w:eastAsia="zh-CN" w:bidi="ar"/>
              </w:rPr>
              <w:t>；</w:t>
            </w:r>
          </w:p>
          <w:p w14:paraId="1666D3B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（二）研制加工工艺应当对各种助剂的使用及对杂质（如残留单体、小分子残留物等）的控制情况进行验证并形成文件。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3A3078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F0D6C7F">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《规范》第五十四条</w:t>
            </w:r>
            <w:r>
              <w:rPr>
                <w:rFonts w:hint="eastAsia" w:ascii="Times New Roman" w:hAnsi="Times New Roman" w:eastAsia="仿宋_GB2312" w:cs="Times New Roman"/>
                <w:kern w:val="0"/>
                <w:sz w:val="22"/>
                <w:szCs w:val="22"/>
                <w:lang w:eastAsia="zh-CN" w:bidi="ar"/>
              </w:rPr>
              <w:t>，</w:t>
            </w:r>
          </w:p>
          <w:p w14:paraId="50FEA266">
            <w:pPr>
              <w:widowControl/>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2.4.2</w:t>
            </w:r>
          </w:p>
          <w:p w14:paraId="4B558CD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2.4.3</w:t>
            </w:r>
          </w:p>
        </w:tc>
      </w:tr>
      <w:tr w14:paraId="274798C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5D0B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EE41B4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BCE29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30ECA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企业应当保留验证相关文件，至少包括验证方案、验证报告、验证结果和结论以及验证过程记录等。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20604E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C095E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《规范》第五十四条</w:t>
            </w:r>
          </w:p>
        </w:tc>
      </w:tr>
      <w:tr w14:paraId="73DD944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0220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9E6B7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2EDB7F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F7C563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企业应当对设计开发进行确认，确保产品满足规定使用要求或者预期用途。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54A5ED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BCC39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《规范》第五十五条</w:t>
            </w:r>
          </w:p>
        </w:tc>
      </w:tr>
      <w:tr w14:paraId="393F733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2B3A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A2FA9F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837B0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77CF6D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设计开发确认可以采用临床评价或者非临床评价方式。开展临床试验的，应当符合医疗器械临床试验相关要求。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74EABC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63FBE0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《规范》第五十五条</w:t>
            </w:r>
          </w:p>
        </w:tc>
      </w:tr>
      <w:tr w14:paraId="5431720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828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FA18A6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BCCCC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54A5A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企业应当对设计开发变更进行识别并评估变更影响。必要时，应当对设计开发变更进行验证、确认，并在实施前得到批准。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88085E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92800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《规范》第五十六条</w:t>
            </w:r>
          </w:p>
        </w:tc>
      </w:tr>
      <w:tr w14:paraId="68904C4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3CF4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C7A14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40384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D324D2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企业应当建立产品设计开发文档，包括设计开发过程中建立或者引用的记录，确保历次设计开发输出过程以及相关活动可追溯。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7AFA53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7EB528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《规范》第五十七条</w:t>
            </w:r>
          </w:p>
        </w:tc>
      </w:tr>
      <w:tr w14:paraId="3A30C13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2C8F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3D5000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B241D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5AD0C6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委托设计开发医疗器械的，委托方应当对受托方研发与持续技术支持能力进行评估。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07004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D3FA9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《规范》第五十八条</w:t>
            </w:r>
          </w:p>
        </w:tc>
      </w:tr>
      <w:tr w14:paraId="316DCFD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EAD0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06D15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A22CD7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7882F3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企业应当与受托方签订协议，明确委托设计开发活动范围、责任以及设计开发文档转移要求。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C16A21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88283F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《规范》第五十八条</w:t>
            </w:r>
          </w:p>
        </w:tc>
      </w:tr>
      <w:tr w14:paraId="231B8FD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4266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D5D7CC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ACC06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208F08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企业应当对委托设计开发过程和结果进行管理并承担相应责任，确保设计开发过程满足法律法规和协议要求。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AB273F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8EB1E2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《规范》第五十八条</w:t>
            </w:r>
          </w:p>
        </w:tc>
      </w:tr>
      <w:tr w14:paraId="45374825">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C6D532">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第八章</w:t>
            </w:r>
          </w:p>
          <w:p w14:paraId="1C64D8E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采购与原材料管理</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29AD5A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7BF91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9E7E36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企业应当建立采购控制程序，确保采购的原材料或者服务符合规定要求，且不低于法律、法规、规章和强制性标准相关要求。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E628EE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D8F15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《规范》第五十九条</w:t>
            </w:r>
          </w:p>
        </w:tc>
      </w:tr>
      <w:tr w14:paraId="4C1EEFB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1433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A1953F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8AC6E7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FC1866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企业应当根据采购原材料或者服务对产品影响程度，对采购原材料或者服务以及供应商进行分类管理。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60733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02A8D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《规范》第六十条</w:t>
            </w:r>
          </w:p>
        </w:tc>
      </w:tr>
      <w:tr w14:paraId="43078C4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681B1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1E2A13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58289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C55D9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供应商管理应当考虑采购原材料或者服务、生产工艺复杂程度、对产品质量安全影响程度、首次供应或者持续供应等因素。与动物源和同种异体原材料和供体的供方签订采购协议书，对供方的资质进行评价，并有详细的采购信息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C79614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C41391C">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《规范》第六十条</w:t>
            </w:r>
            <w:r>
              <w:rPr>
                <w:rFonts w:hint="eastAsia" w:ascii="Times New Roman" w:hAnsi="Times New Roman" w:eastAsia="仿宋_GB2312" w:cs="Times New Roman"/>
                <w:kern w:val="0"/>
                <w:sz w:val="22"/>
                <w:szCs w:val="22"/>
                <w:lang w:eastAsia="zh-CN" w:bidi="ar"/>
              </w:rPr>
              <w:t>，</w:t>
            </w:r>
          </w:p>
          <w:p w14:paraId="3821F47E">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2.5.3</w:t>
            </w:r>
          </w:p>
        </w:tc>
      </w:tr>
      <w:tr w14:paraId="4C2798E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CD65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27A998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33F72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3A0887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植入性的动物源医疗器械生产企业应当与动物定点供应单位签订长期供应协议，在协议中应当载明供体的质量要求，并保存供应单位相关资格证明、动物检疫合格证、动物防疫合格证，执行的检疫标准等资料。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371AF9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2CDF0CD">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2.5.5</w:t>
            </w:r>
          </w:p>
        </w:tc>
      </w:tr>
      <w:tr w14:paraId="2A94DE1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7FAB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2FFC2F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6AEB3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040BC8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企业应当建立供应商审核制度，明确供应商选择、评价和再评价准则和方法，根据审核评价结果建立合格供应商名单。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296DE6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764BC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《规范》第六十一条</w:t>
            </w:r>
          </w:p>
        </w:tc>
      </w:tr>
      <w:tr w14:paraId="525853D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C19E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DC8141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45C25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12D904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企业应当结合产品质量风险、原材料用量以及对产品质量影响程度，确定是否对供应商进行现场审核。</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CD406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848EA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《规范》第六十一条</w:t>
            </w:r>
          </w:p>
        </w:tc>
      </w:tr>
      <w:tr w14:paraId="43C84EA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3DE4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0D86F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81E7EA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3924A2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企业应当对供应商定期进行综合评价，回顾分析其供应原材料或者服务的质量、技术水平、交付能力等。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EAFBD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A3A44D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《规范》第六十二条</w:t>
            </w:r>
          </w:p>
        </w:tc>
      </w:tr>
      <w:tr w14:paraId="2E05C1F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EE07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2957F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71487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BFF026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经评估认为供应商存在重大缺陷的，企业应当中止采购，及时分析相关缺陷对产品带来的风险，必要时采取相应措施。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C57BB0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A72D14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《规范》第六十二条</w:t>
            </w:r>
          </w:p>
        </w:tc>
      </w:tr>
      <w:tr w14:paraId="0D71616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D35A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D7C88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4FD1D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3D5A6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企业应当与关键供应商签订质量协议，明确采购原材料或者服务的技术要求、验收标准和双方质量责任。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BC98CC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540935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《规范》第六十三条</w:t>
            </w:r>
          </w:p>
        </w:tc>
      </w:tr>
      <w:tr w14:paraId="752AC45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4EEB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6DA37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7056A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2674B6">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企业应当建立关键供应商质量档案。</w:t>
            </w:r>
          </w:p>
          <w:p w14:paraId="2C9C123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档案至少包括：供应商资质证明文件、审核报告、采购合同或者质量协议、采购物品清单、产品技术要求或者质量标准、验收准则，供应商能力或者绩效监测、定期审核、评价和再评价结果以及由其引发的相关措施记录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7B194B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D45C98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《规范》第六十三条</w:t>
            </w:r>
          </w:p>
        </w:tc>
      </w:tr>
      <w:tr w14:paraId="0BA16E5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1BE8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A50519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CED00D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8.5.3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103E56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企业应当向合法和有质量保证的供方采购动物源和同种异体原材料或供体，并保存可追溯性文件和记录。对同种异体原材料，企业应当保存与其合作的医疗机构提供的合法性证明或其伦理委员会的确认文件。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4B760C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8642C9">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2.5.3、2.5.5、2.5.7</w:t>
            </w:r>
          </w:p>
        </w:tc>
      </w:tr>
      <w:tr w14:paraId="25CEE72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D27E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4F78DD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589522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BBAE721">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企业应当明确采购信息和采购要求，包括采购原材料或者服务的类别、验收准则、规格型号、规程、图样等内容。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EE6581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405CDA0">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《规范》第六十四条</w:t>
            </w:r>
          </w:p>
        </w:tc>
      </w:tr>
      <w:tr w14:paraId="73D31E9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241E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CD0FE6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C9BD1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FC7EF5A">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企业应当保留采购记录，包括采购合同、采购清单、检验报告等，采购记录应当真实、准确、完整和可追溯。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E54D18D">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EDF6ED4">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《规范》第六十四条</w:t>
            </w:r>
          </w:p>
        </w:tc>
      </w:tr>
      <w:tr w14:paraId="01B7B07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B3A6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150E7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BD775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489B18C">
            <w:pPr>
              <w:widowControl/>
              <w:spacing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企业应当建立原材料进货验收制度，对采购的原材料进行检查、检验或者验证，确保满足要求后方可入库。</w:t>
            </w:r>
          </w:p>
          <w:p w14:paraId="623BA5B3">
            <w:pPr>
              <w:widowControl/>
              <w:spacing w:line="300" w:lineRule="exact"/>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（一）需要进行生物学评价的材料，采购的原材料应当与经生物学评价的材料相同</w:t>
            </w:r>
            <w:r>
              <w:rPr>
                <w:rFonts w:hint="eastAsia" w:ascii="Times New Roman" w:hAnsi="Times New Roman" w:eastAsia="仿宋_GB2312" w:cs="Times New Roman"/>
                <w:kern w:val="0"/>
                <w:sz w:val="22"/>
                <w:szCs w:val="22"/>
                <w:lang w:eastAsia="zh-CN" w:bidi="ar"/>
              </w:rPr>
              <w:t>；</w:t>
            </w:r>
          </w:p>
          <w:p w14:paraId="20457C31">
            <w:pPr>
              <w:widowControl/>
              <w:spacing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（二）植入性的同种异体医疗器械生产企业应当保存供者志愿捐献书。在志愿捐献书中，应当明确供者所捐献组织的实际用途，并经供者本人或其法定代理人或其直系亲属签名确认</w:t>
            </w:r>
            <w:r>
              <w:rPr>
                <w:rFonts w:hint="eastAsia" w:ascii="Times New Roman" w:hAnsi="Times New Roman" w:eastAsia="仿宋_GB2312" w:cs="Times New Roman"/>
                <w:kern w:val="0"/>
                <w:sz w:val="22"/>
                <w:szCs w:val="22"/>
                <w:lang w:eastAsia="zh-CN" w:bidi="ar"/>
              </w:rPr>
              <w:t>；</w:t>
            </w:r>
          </w:p>
          <w:p w14:paraId="331F2D73">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（三）植入性的同种异体医疗器械生产企业应当对所需供体进行严格筛查，应当建立供体筛查技术要求，并保存供体病原体及必要的血清学检验报告。</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A9CA4CA">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CDC5D1D">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《规范》第六十五条</w:t>
            </w:r>
            <w:r>
              <w:rPr>
                <w:rFonts w:hint="eastAsia" w:ascii="Times New Roman" w:hAnsi="Times New Roman" w:eastAsia="仿宋_GB2312" w:cs="Times New Roman"/>
                <w:kern w:val="0"/>
                <w:sz w:val="22"/>
                <w:szCs w:val="22"/>
                <w:lang w:eastAsia="zh-CN" w:bidi="ar"/>
              </w:rPr>
              <w:t>，</w:t>
            </w:r>
          </w:p>
          <w:p w14:paraId="4C905612">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2.5.1、2.5.6、2.5.7</w:t>
            </w:r>
          </w:p>
        </w:tc>
      </w:tr>
      <w:tr w14:paraId="0376AAE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8A2D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F3241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149EB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80233EE">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验收取样应当遵循抽样规则并在相应环境下进行。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0A3A3C9">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7234D9D">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《规范》第六十五条</w:t>
            </w:r>
          </w:p>
        </w:tc>
      </w:tr>
      <w:tr w14:paraId="73BB762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C08F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0910A3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F39CB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8.7.3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39D423A">
            <w:pPr>
              <w:widowControl/>
              <w:spacing w:line="300" w:lineRule="exac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植入性无菌医疗器械的初包装材料应当适用于所用的灭菌过程或无菌加工的包装要求，并执行相应法规和标准的规定，确保在包装、运输、贮存和使用时不会对产品造成污染。</w:t>
            </w:r>
          </w:p>
          <w:p w14:paraId="4CC33D14">
            <w:pPr>
              <w:widowControl/>
              <w:spacing w:line="300" w:lineRule="exac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（一）应当根据产品质量要求确定所采购初包装材料的初始污染菌和微粒污染可接受水平并形成文件，按照文件要求对采购的初包装材料进行进货检验并保持相关记录</w:t>
            </w:r>
            <w:r>
              <w:rPr>
                <w:rFonts w:hint="eastAsia" w:ascii="Times New Roman" w:hAnsi="Times New Roman" w:eastAsia="仿宋_GB2312" w:cs="Times New Roman"/>
                <w:kern w:val="0"/>
                <w:sz w:val="22"/>
                <w:szCs w:val="22"/>
                <w:lang w:eastAsia="zh-CN" w:bidi="ar"/>
              </w:rPr>
              <w:t>；</w:t>
            </w:r>
          </w:p>
          <w:p w14:paraId="2A6D6F9B">
            <w:pPr>
              <w:widowControl/>
              <w:spacing w:line="300" w:lineRule="exac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（二）以非无菌状态提供的植入性医疗器械，包装应当能保持其产品不发生锈蚀、霉变、蜕变等性质变化，应适宜企业所用的灭菌方法。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4D365F7">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636659A">
            <w:pPr>
              <w:widowControl/>
              <w:spacing w:line="300" w:lineRule="exact"/>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2.5.2</w:t>
            </w:r>
          </w:p>
          <w:p w14:paraId="3ED76541">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2.6.14</w:t>
            </w:r>
          </w:p>
        </w:tc>
      </w:tr>
      <w:tr w14:paraId="7C2A7E1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4B91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9A864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D03BA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BED275C">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仓储管理制度，确保原材料、中间产品以及成品等能够正确贮存、发放、使用和运输，防止污染、交叉污染、混淆和差错。应当控制和记录贮存条件，贮存条件应当在标签或使用说明书中注明。相关活动应当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0D1451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2FB3CE2">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《规范》第六十六条</w:t>
            </w:r>
            <w:r>
              <w:rPr>
                <w:rFonts w:hint="eastAsia" w:ascii="Times New Roman" w:hAnsi="Times New Roman" w:eastAsia="仿宋_GB2312" w:cs="Times New Roman"/>
                <w:kern w:val="0"/>
                <w:sz w:val="22"/>
                <w:szCs w:val="22"/>
                <w:lang w:eastAsia="zh-CN" w:bidi="ar"/>
              </w:rPr>
              <w:t>，</w:t>
            </w:r>
          </w:p>
          <w:p w14:paraId="4CD8879E">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2.6.13</w:t>
            </w:r>
          </w:p>
        </w:tc>
      </w:tr>
      <w:tr w14:paraId="0028957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9C3D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CCD02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12CDC5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470C27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原材料的发放和使用一般应当遵循先进先出原则。</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D1927B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142A91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《规范》第六十七条</w:t>
            </w:r>
          </w:p>
        </w:tc>
      </w:tr>
      <w:tr w14:paraId="54D2B7A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B745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5FC857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77AF6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847D41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超过贮存期的原材料应当进行复验，经评估符合规定后方可使用。超过有效期的原材料，应当按照不合格品处理。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955E52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4CE90F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《规范》第六十七条</w:t>
            </w:r>
          </w:p>
        </w:tc>
      </w:tr>
      <w:tr w14:paraId="50CA93F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FE84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5DFC0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F70582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A05C932">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企业应当要求供应商提前告知关键原材料生产条件、规格型号、图样、生产工艺、质量标准和检验方法等发生的变更。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F5AFCB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592D0C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《规范》第六十八条</w:t>
            </w:r>
          </w:p>
        </w:tc>
      </w:tr>
      <w:tr w14:paraId="2061696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8850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A4315C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7040D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9B7E702">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企业应当评估变更对产品质量影响的范围和程度，必要时采取措施并对供应商进行现场审核。</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40BF02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27F5A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《规范》第六十八条</w:t>
            </w:r>
          </w:p>
        </w:tc>
      </w:tr>
      <w:tr w14:paraId="08D06B38">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7F237F">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第九章</w:t>
            </w:r>
          </w:p>
          <w:p w14:paraId="7B4E1FE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验证与确认</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F2BFF0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917F1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A1ED24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企业应当基于风险评估确定验证或者确认的范围和程度，以证明相关设施设备、操作以及产品实现过程中的关键要素得到有效控制。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8A4B43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B77C3FE">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《规范》第六十九条</w:t>
            </w:r>
            <w:r>
              <w:rPr>
                <w:rFonts w:hint="eastAsia" w:ascii="Times New Roman" w:hAnsi="Times New Roman" w:eastAsia="仿宋_GB2312" w:cs="Times New Roman"/>
                <w:kern w:val="0"/>
                <w:sz w:val="22"/>
                <w:szCs w:val="22"/>
                <w:lang w:eastAsia="zh-CN" w:bidi="ar"/>
              </w:rPr>
              <w:t>，</w:t>
            </w:r>
          </w:p>
          <w:p w14:paraId="4ADCDF88">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2.6.9</w:t>
            </w:r>
          </w:p>
        </w:tc>
      </w:tr>
      <w:tr w14:paraId="04EACC0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88F5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BB854C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7B17F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B435CD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5BA32E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DC1BC0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《规范》第七十条</w:t>
            </w:r>
          </w:p>
        </w:tc>
      </w:tr>
      <w:tr w14:paraId="221EED6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A762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6DB2B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BED3C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7198CC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E9D644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0BCBE1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《规范》第七十一条</w:t>
            </w:r>
          </w:p>
        </w:tc>
      </w:tr>
      <w:tr w14:paraId="6C690DE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593A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84433B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CA71B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FC51B4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工艺验证或者确认应当证明生产过程按照规定的工艺参数能够持续生产出符合强制性标准、产品技术要求和预期用途的产品。</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F1A016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308593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《规范》第七十二条</w:t>
            </w:r>
          </w:p>
        </w:tc>
      </w:tr>
      <w:tr w14:paraId="12EED84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527B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7DF9F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05976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E92E6D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特殊过程应当经过确认，关键工序应当经过验证。无菌加工或灭菌过程应当按照相关标准要求在初次实施前进行确认，并形成确认报告、保留确认记录，必要时应当再确认。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1938D8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774CB54">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《规范》第七十二条</w:t>
            </w:r>
            <w:r>
              <w:rPr>
                <w:rFonts w:hint="eastAsia" w:ascii="Times New Roman" w:hAnsi="Times New Roman" w:eastAsia="仿宋_GB2312" w:cs="Times New Roman"/>
                <w:kern w:val="0"/>
                <w:sz w:val="22"/>
                <w:szCs w:val="22"/>
                <w:lang w:eastAsia="zh-CN" w:bidi="ar"/>
              </w:rPr>
              <w:t>，</w:t>
            </w:r>
          </w:p>
          <w:p w14:paraId="44590DEA">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2.6.9</w:t>
            </w:r>
          </w:p>
        </w:tc>
      </w:tr>
      <w:tr w14:paraId="5992EB9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BD66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8D292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993F8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9.4.3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4EDF2D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对于涉及到生物安全性的有关病毒和其他传染性病原体，企业应当采用有效的方法灭活、去除病毒和其他传染性病原体，并对其工艺过程的有效性进行确认，并保留验证报告。</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F4A496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B1A4BBF">
            <w:pPr>
              <w:widowControl/>
              <w:jc w:val="center"/>
              <w:textAlignment w:val="center"/>
              <w:rPr>
                <w:rFonts w:hint="default" w:ascii="Times New Roman" w:hAnsi="Times New Roman" w:eastAsia="仿宋_GB2312" w:cs="Times New Roman"/>
                <w:kern w:val="0"/>
                <w:sz w:val="22"/>
                <w:szCs w:val="22"/>
                <w:lang w:bidi="ar"/>
              </w:rPr>
            </w:pPr>
          </w:p>
          <w:p w14:paraId="2461A759">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2.6.15、2.5.4</w:t>
            </w:r>
          </w:p>
        </w:tc>
      </w:tr>
      <w:tr w14:paraId="0661BF5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DF9B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D2B716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0729B0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13E46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企业应当结合产品特性、工艺特点以及设备设施使用情况等对清洁方法实施验证，证实其清洁效果，有效防止污染和交叉污染。</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232C9C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AC492A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《规范》第七十三条</w:t>
            </w:r>
          </w:p>
        </w:tc>
      </w:tr>
      <w:tr w14:paraId="202D09E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6929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3461F9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D1180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9057A31">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42FEDFE">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BB7AE9">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《规范》第七十四条</w:t>
            </w:r>
          </w:p>
        </w:tc>
      </w:tr>
      <w:tr w14:paraId="479AE2D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B748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FD23FE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EBCFE4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5366AD3">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首次验证或者确认后，企业应当根据产品质量回顾分析情况对生产工艺、设备设施等进行再验证或者再确认，确保其能够达到预期结果。</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481A0C9">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786E133">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《规范》第七十五条</w:t>
            </w:r>
          </w:p>
        </w:tc>
      </w:tr>
      <w:tr w14:paraId="37FCFC4E">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C965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48B5B2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E33A34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5D6F2F9">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使用历史数据开展回顾性验证或者确认的，企业应当确保所使用数据适当且充分。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9A0B63">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EFA0769">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《规范》第七十五条</w:t>
            </w:r>
          </w:p>
        </w:tc>
      </w:tr>
      <w:tr w14:paraId="6FDFBC8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65DA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4DDAF4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38A3EC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3FAA979">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E181DD6">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2D0478">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《规范》第七十六条</w:t>
            </w:r>
          </w:p>
        </w:tc>
      </w:tr>
      <w:tr w14:paraId="6E6C7BE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4E02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4D16D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BF0338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DCC163E">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企业应当按照方案实施验证或者确认，形成报告并保留相关记录。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E17295">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EDADE1E">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《规范》第七十六条</w:t>
            </w:r>
          </w:p>
        </w:tc>
      </w:tr>
      <w:tr w14:paraId="7240674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C687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3A729B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9403F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4DAC79B">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5B1C63F">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D34906">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《规范》第七十七条</w:t>
            </w:r>
          </w:p>
        </w:tc>
      </w:tr>
      <w:tr w14:paraId="521C3D39">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7781F3">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第十章</w:t>
            </w:r>
          </w:p>
          <w:p w14:paraId="00C20AC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生产管理</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DE4A7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781AA6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664FEDC">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0725642">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5FFEFB">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《规范》第七十八条</w:t>
            </w:r>
          </w:p>
        </w:tc>
      </w:tr>
      <w:tr w14:paraId="22B15CC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4FBE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E62665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60A27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251DC0B">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洁净室（区）的卫生管理文件，按照规定对洁净室（区）进行清洁处理和消毒，并保存记录。所用的消毒剂或消毒方法不得对设备、工装夹具、原材料和产品造成污染。消毒剂品种应当定期更换，防止产生耐药菌株。</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E0ED86D">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260F242">
            <w:pPr>
              <w:widowControl/>
              <w:spacing w:line="290" w:lineRule="exact"/>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 xml:space="preserve">2.6.2 </w:t>
            </w:r>
          </w:p>
          <w:p w14:paraId="3FC81F4F">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2.6.18</w:t>
            </w:r>
          </w:p>
        </w:tc>
      </w:tr>
      <w:tr w14:paraId="658D484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AA0D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539771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EC855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5CFF51C">
            <w:pPr>
              <w:widowControl/>
              <w:spacing w:line="29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对人员的清洁要求，制定洁净室（区）工作人员卫生守则。人员进入洁净室（区）应当按照程序进行净化，并穿戴工作帽、口罩、洁净工作服、工作鞋。裸手接触产品的操作人员每隔一定时间应当对手再次进行消毒。裸手消毒剂的种类应当定期更换。</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6CF1DC5">
            <w:pPr>
              <w:widowControl/>
              <w:spacing w:line="29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3730DE8">
            <w:pPr>
              <w:widowControl/>
              <w:spacing w:line="29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2.1.4</w:t>
            </w:r>
          </w:p>
        </w:tc>
      </w:tr>
      <w:tr w14:paraId="68A0E1D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7CA3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84BC1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63351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DBD37ED">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明确人员服装要求，制定洁净和无菌工作服的管理规定。工作服及其质量应当与生产操作的要求及操作区的洁净度级别相适应，其式样和穿着方式应当能够满足保护产品和人员的要求。洁净工作服和无菌工作服不得脱落纤维和颗粒性物质，无菌工作服应当能够包盖全部头发、胡须及脚部，并能阻留人体脱落物。</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41A0248">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7B7A661">
            <w:pPr>
              <w:widowControl/>
              <w:spacing w:line="308"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2.1.6</w:t>
            </w:r>
          </w:p>
        </w:tc>
      </w:tr>
      <w:tr w14:paraId="24CD28E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6D67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C2FB91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84449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C8A0014">
            <w:pPr>
              <w:widowControl/>
              <w:spacing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企业应当在生产过程中对原材料、中间产品等进行有效管控。</w:t>
            </w:r>
          </w:p>
          <w:p w14:paraId="08EC7202">
            <w:pPr>
              <w:widowControl/>
              <w:spacing w:line="308" w:lineRule="exact"/>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（一）进入洁净室（区）的原材料和物品必须按程序进行净化处理</w:t>
            </w:r>
            <w:r>
              <w:rPr>
                <w:rFonts w:hint="eastAsia" w:ascii="Times New Roman" w:hAnsi="Times New Roman" w:eastAsia="仿宋_GB2312" w:cs="Times New Roman"/>
                <w:kern w:val="0"/>
                <w:sz w:val="22"/>
                <w:szCs w:val="22"/>
                <w:lang w:eastAsia="zh-CN" w:bidi="ar"/>
              </w:rPr>
              <w:t>；</w:t>
            </w:r>
          </w:p>
          <w:p w14:paraId="3F79E677">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（二）需要清洁处理的，应明确清洁方法和要求，对清洁效果进行验证，末道清洁处理应当在相应级别的洁净室（区）内进行，末道清洁处理介质应当满足产品质量的要求。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9E9AED1">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C611D7B">
            <w:pPr>
              <w:widowControl/>
              <w:spacing w:line="308"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《规范》第七十九条</w:t>
            </w:r>
            <w:r>
              <w:rPr>
                <w:rFonts w:hint="eastAsia" w:ascii="Times New Roman" w:hAnsi="Times New Roman" w:eastAsia="仿宋_GB2312" w:cs="Times New Roman"/>
                <w:kern w:val="0"/>
                <w:sz w:val="22"/>
                <w:szCs w:val="22"/>
                <w:lang w:eastAsia="zh-CN" w:bidi="ar"/>
              </w:rPr>
              <w:t>，</w:t>
            </w:r>
          </w:p>
          <w:p w14:paraId="60CA102E">
            <w:pPr>
              <w:widowControl/>
              <w:spacing w:line="308"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2.6.5</w:t>
            </w:r>
          </w:p>
        </w:tc>
      </w:tr>
      <w:tr w14:paraId="52BD1E8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1B7B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CDC318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25003A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3BB1B20">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企业应当根据产品质量要求确定产品的初始污染菌和微粒污染的控制水平并形成文件,明确中间产品的存储环境要求和存放时间。</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03ECF5D">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7C66516">
            <w:pPr>
              <w:widowControl/>
              <w:spacing w:line="308"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2.7.4</w:t>
            </w:r>
          </w:p>
        </w:tc>
      </w:tr>
      <w:tr w14:paraId="0939945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E681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BAEDC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B3E68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690ECFA">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工位器具的管理文件，所选用的工位器具应当能避免产品在存放和搬运中被污染和损坏。生产设备所用的润滑剂、冷却剂、清洗剂及在洁净室（区）内通过模具成型后不需清洁处理的零配件所用的脱模剂，均不得对产品造成污染。</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E9B9A7C">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4E5A78D">
            <w:pPr>
              <w:widowControl/>
              <w:spacing w:line="308"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2.6.4、2.6.3</w:t>
            </w:r>
          </w:p>
        </w:tc>
      </w:tr>
      <w:tr w14:paraId="6C591F8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1B5F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32F04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0EF41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9652D5F">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企业应当根据产品和生产工艺特点对环境进行监测和控制，并保留记录。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2E094A5">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B024651">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《规范》第八十条</w:t>
            </w:r>
          </w:p>
        </w:tc>
      </w:tr>
      <w:tr w14:paraId="61FF458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7D42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B8F97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4CF4A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6F75E08">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企业应当建立批号管理规定，明确生产批号和灭菌批号的关系，每批（台）产品均应当有生产记录，并满足追溯要求。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EB1C818">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A85FFCE">
            <w:pPr>
              <w:widowControl/>
              <w:spacing w:line="308"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《规范》第八十一条</w:t>
            </w:r>
            <w:r>
              <w:rPr>
                <w:rFonts w:hint="eastAsia" w:ascii="Times New Roman" w:hAnsi="Times New Roman" w:eastAsia="仿宋_GB2312" w:cs="Times New Roman"/>
                <w:kern w:val="0"/>
                <w:sz w:val="22"/>
                <w:szCs w:val="22"/>
                <w:lang w:eastAsia="zh-CN" w:bidi="ar"/>
              </w:rPr>
              <w:t>，</w:t>
            </w:r>
          </w:p>
          <w:p w14:paraId="540E3A0C">
            <w:pPr>
              <w:widowControl/>
              <w:spacing w:line="308"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2.6.7</w:t>
            </w:r>
          </w:p>
        </w:tc>
      </w:tr>
      <w:tr w14:paraId="49FD0D4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E6EB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0C5F69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36C09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DC963A0">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记录至少包括产品名称、规格型号、生产批号或者产品编号（医疗器械唯一标识）、生产日期、数量、关键原材料编号/批号/序列号、中间产品批号、主要设备、工艺参数、操作人员等内容，并体现物料平衡或者记录关键原材料使用情况。</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7AF2663">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E7F0E8">
            <w:pPr>
              <w:widowControl/>
              <w:spacing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《规范》第八十一条</w:t>
            </w:r>
          </w:p>
        </w:tc>
      </w:tr>
      <w:tr w14:paraId="2E6F9B6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F55A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8DCD06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E0C12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C4AE83A">
            <w:pPr>
              <w:widowControl/>
              <w:spacing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企业应当制定灭菌过程控制文件，保持每一灭菌批的灭菌过程参数记录，灭菌记录应当可追溯到产品的每一生产批。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C7DA093">
            <w:pPr>
              <w:widowControl/>
              <w:spacing w:line="308" w:lineRule="exact"/>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C84BE1">
            <w:pPr>
              <w:widowControl/>
              <w:spacing w:line="308"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2.6.10</w:t>
            </w:r>
          </w:p>
        </w:tc>
      </w:tr>
      <w:tr w14:paraId="0465482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1C2F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84D7455">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ABFBD2A">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7B6E5A4">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企业应当根据产品特性检查实际产量和关键原材料实际用量间的物料平衡，确保符合设定限度要求。如有偏差，企业应当查明原因，确认无潜在质量风险后，方可按照正常产品处理。</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61D9FB7">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58BCBA2">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《规范》第八十二条</w:t>
            </w:r>
          </w:p>
        </w:tc>
      </w:tr>
      <w:tr w14:paraId="264C9BA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6EE3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57D71D4">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3F7D72">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A20710A">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标识控制程序，采用适宜方法对产品进行标识，防止混淆、差错以及不合格中间产品流入下道工序。植入性医疗器械应当标记生产企业名称或商标、批代码（批号）或系列号，以保证其可追溯。如果标记会影响产品的预期性能，或因产品体积或物理特性难以清晰标记，上述信息可以使用标签或其他方法标示。</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51ECA6D">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9E544FB">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《规范》第八十三条</w:t>
            </w:r>
            <w:r>
              <w:rPr>
                <w:rFonts w:hint="eastAsia" w:ascii="Times New Roman" w:hAnsi="Times New Roman" w:eastAsia="仿宋_GB2312" w:cs="Times New Roman"/>
                <w:kern w:val="0"/>
                <w:sz w:val="22"/>
                <w:szCs w:val="22"/>
                <w:lang w:eastAsia="zh-CN" w:bidi="ar"/>
              </w:rPr>
              <w:t>，</w:t>
            </w:r>
          </w:p>
          <w:p w14:paraId="1B6D1B47">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2.6.12</w:t>
            </w:r>
          </w:p>
        </w:tc>
      </w:tr>
      <w:tr w14:paraId="7F7F017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D1AB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FC5E3A3">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E617307">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2D25897">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产品说明书、标签应当符合相关法律、法规、规章以及标准要求并进行有效管控。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E83530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0EA33F2">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《规范》第八十四条</w:t>
            </w:r>
          </w:p>
        </w:tc>
      </w:tr>
      <w:tr w14:paraId="6D1994F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F556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E2D847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219BC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FFABA4F">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防护程序，规定产品及其组成部分的防护要求，包括污染防护、静电防护、粉尘防护、腐蚀防护、射线防护、运输防护和网络安全防护等。防护措施包括但不限于包装、标识、防护罩以及特殊的搬运和贮存要求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EF81C58">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1F65F7A">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《规范》第八十五条</w:t>
            </w:r>
            <w:r>
              <w:rPr>
                <w:rFonts w:hint="eastAsia" w:ascii="Times New Roman" w:hAnsi="Times New Roman" w:eastAsia="仿宋_GB2312" w:cs="Times New Roman"/>
                <w:kern w:val="0"/>
                <w:sz w:val="22"/>
                <w:szCs w:val="22"/>
                <w:lang w:eastAsia="zh-CN" w:bidi="ar"/>
              </w:rPr>
              <w:t>，</w:t>
            </w:r>
          </w:p>
          <w:p w14:paraId="710D1E5E">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w:t>
            </w:r>
          </w:p>
        </w:tc>
      </w:tr>
      <w:tr w14:paraId="6A217F4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AB20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8523497">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3A04FEB">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9F0C4DE">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植入性的动物源医疗器械和同种异体医疗器械生产企业应当对供体的控制、防护、试验及处理提供有效保障措施。应当制定灭活或去除病毒和其他传染性病原体的工艺文件，确保原材料在受控条件下进行处理，并不造成污染。企业应当建立废弃的动物和人体组织的处理程序和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AA3A766">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751A00">
            <w:pPr>
              <w:widowControl/>
              <w:spacing w:line="300" w:lineRule="exact"/>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2.6.15</w:t>
            </w:r>
          </w:p>
          <w:p w14:paraId="058DA7C5">
            <w:pPr>
              <w:widowControl/>
              <w:spacing w:line="300" w:lineRule="exact"/>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2.5.4</w:t>
            </w:r>
          </w:p>
          <w:p w14:paraId="0E8A2159">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val="en" w:eastAsia="zh-CN" w:bidi="ar"/>
              </w:rPr>
              <w:t>、</w:t>
            </w:r>
            <w:r>
              <w:rPr>
                <w:rFonts w:hint="default" w:ascii="Times New Roman" w:hAnsi="Times New Roman" w:eastAsia="仿宋_GB2312" w:cs="Times New Roman"/>
                <w:kern w:val="0"/>
                <w:sz w:val="22"/>
                <w:szCs w:val="22"/>
                <w:lang w:bidi="ar"/>
              </w:rPr>
              <w:t>2.6.16</w:t>
            </w:r>
          </w:p>
        </w:tc>
      </w:tr>
      <w:tr w14:paraId="57D575B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C6DE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492D3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06AB69">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E476F37">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企业应当结合产品特性和生产实际建立清场管理制度，防止生产涉及的原材料、中间产品和成品污染与混用、相关文件差错使用。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A45F38C">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52A162">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《规范》第八十六条</w:t>
            </w:r>
            <w:r>
              <w:rPr>
                <w:rFonts w:hint="eastAsia" w:ascii="Times New Roman" w:hAnsi="Times New Roman" w:eastAsia="仿宋_GB2312" w:cs="Times New Roman"/>
                <w:kern w:val="0"/>
                <w:sz w:val="22"/>
                <w:szCs w:val="22"/>
                <w:lang w:eastAsia="zh-CN" w:bidi="ar"/>
              </w:rPr>
              <w:t>，</w:t>
            </w:r>
          </w:p>
          <w:p w14:paraId="4FFB1CD3">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 xml:space="preserve">2.6.6 </w:t>
            </w:r>
          </w:p>
        </w:tc>
      </w:tr>
      <w:tr w14:paraId="3BB5FB0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3F3B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231EEFD">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63C627">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0466A7E">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生产开始前，企业应当对前次清场情况进行确认。清场记录和确认应当纳入批生产记录。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F1E0C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64CC7ED">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《规范》第八十六条</w:t>
            </w:r>
            <w:r>
              <w:rPr>
                <w:rFonts w:hint="eastAsia" w:ascii="Times New Roman" w:hAnsi="Times New Roman" w:eastAsia="仿宋_GB2312" w:cs="Times New Roman"/>
                <w:kern w:val="0"/>
                <w:sz w:val="22"/>
                <w:szCs w:val="22"/>
                <w:lang w:eastAsia="zh-CN" w:bidi="ar"/>
              </w:rPr>
              <w:t>，</w:t>
            </w:r>
          </w:p>
          <w:p w14:paraId="6E4D9D73">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 xml:space="preserve">2.6.6 </w:t>
            </w:r>
          </w:p>
        </w:tc>
      </w:tr>
      <w:tr w14:paraId="32BEF6D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26CE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51CBA14">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5B133E">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651D801">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E7176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DC6A301">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《规范》第八十七条</w:t>
            </w:r>
          </w:p>
        </w:tc>
      </w:tr>
      <w:tr w14:paraId="0C2D4BC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447D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50DBC6">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861CAA7">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EE3263D">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企业应当建立不合格品控制程序，对生产过程中的不合格原材料、中间产品和成品等进行及时有效的标识、记录、隔离并开展评审。</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4B21742">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FC676D0">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《规范》第八十八条</w:t>
            </w:r>
          </w:p>
        </w:tc>
      </w:tr>
      <w:tr w14:paraId="2EF21F3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C0B7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E34495">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22CCE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5C6B23D">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返工和降级使用应当符合相关法规规定以及顾客要求。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9D7483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840CFD">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《规范》第八十八条</w:t>
            </w:r>
          </w:p>
        </w:tc>
      </w:tr>
      <w:tr w14:paraId="38AFEED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9425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87DEDDB">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3FDE7A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AC36C85">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不合格品进行返工的，企业应当建立返工控制程序，包括作业指导书、重新检验和重新验证要求等。应当对返工带来的风险进行评估。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A91A756">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E89978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《规范》第八十九条</w:t>
            </w:r>
          </w:p>
        </w:tc>
      </w:tr>
      <w:tr w14:paraId="37E8C1C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F049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382F0CA">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A080A3">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8C02D23">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企业应当建立产品追溯程序，规定产品追溯范围、程度、标识和必要的记录，包括原材料编号、批号或者序列号管理、生产设备、操作人员、生产环境、医疗器械唯一标识等。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8F1D10">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259F275">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《规范》第九十条</w:t>
            </w:r>
            <w:r>
              <w:rPr>
                <w:rFonts w:hint="eastAsia" w:ascii="Times New Roman" w:hAnsi="Times New Roman" w:eastAsia="仿宋_GB2312" w:cs="Times New Roman"/>
                <w:kern w:val="0"/>
                <w:sz w:val="22"/>
                <w:szCs w:val="22"/>
                <w:lang w:eastAsia="zh-CN" w:bidi="ar"/>
              </w:rPr>
              <w:t>，</w:t>
            </w:r>
          </w:p>
          <w:p w14:paraId="6F06E91F">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 xml:space="preserve">2.6.11 </w:t>
            </w:r>
          </w:p>
        </w:tc>
      </w:tr>
      <w:tr w14:paraId="573DDC6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2205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BF4EF2">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90D17D">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B59693">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企业应当按照国家实施医疗器械唯一标识有关要求开展赋码、数据上传和维护更新，保证信息真实、准确、完整和可追溯。</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B13026B">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A119261">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《规范》第九十一条</w:t>
            </w:r>
          </w:p>
        </w:tc>
      </w:tr>
      <w:tr w14:paraId="4CF250A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DF7D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15764FF">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9C5D3F">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67C95BC">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共用生产车间、生产线或者生产设备的，企业应当基于产品质量风险管理原则，建立相应管理制度，防止可能产生的原材料、中间产品或者成品混淆、交叉污染、工艺参数误用等风险。</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747347E">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595AC2C">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《规范》第九十二条</w:t>
            </w:r>
          </w:p>
        </w:tc>
      </w:tr>
      <w:tr w14:paraId="39E9FEB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695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6D3A2DA">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981EE5B">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142198F">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开展连续生产的，企业应当规定最大批次数量或者最长生产时间，并验证连续生产对环境和设备等的影响。</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CEAD5C3">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2F0BD99">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《规范》第九十三条</w:t>
            </w:r>
          </w:p>
        </w:tc>
      </w:tr>
      <w:tr w14:paraId="051715F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CDD2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230DFF">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CD7EED">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7C75992">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达到最大批次数量或者最长生产时间后，企业应当进行相应的清洁、维护。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64A7B5A">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94BBED1">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《规范》第九十三条</w:t>
            </w:r>
          </w:p>
        </w:tc>
      </w:tr>
      <w:tr w14:paraId="18E783B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8F35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6D5F378">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3AD02E">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10.17.1</w:t>
            </w:r>
          </w:p>
        </w:tc>
        <w:tc>
          <w:tcPr>
            <w:tcW w:w="4479" w:type="dxa"/>
            <w:tcBorders>
              <w:top w:val="nil"/>
              <w:left w:val="nil"/>
              <w:bottom w:val="nil"/>
              <w:right w:val="nil"/>
            </w:tcBorders>
            <w:noWrap w:val="0"/>
            <w:vAlign w:val="center"/>
          </w:tcPr>
          <w:p w14:paraId="518FDD7A">
            <w:pPr>
              <w:widowControl/>
              <w:spacing w:line="300" w:lineRule="exact"/>
              <w:jc w:val="left"/>
              <w:textAlignment w:val="center"/>
              <w:rPr>
                <w:rFonts w:hint="default" w:ascii="Times New Roman" w:hAnsi="Times New Roman" w:eastAsia="仿宋_GB2312" w:cs="Times New Roman"/>
                <w:szCs w:val="21"/>
              </w:rPr>
            </w:pPr>
            <w:r>
              <w:rPr>
                <w:rFonts w:hint="default" w:ascii="Times New Roman" w:hAnsi="Times New Roman" w:eastAsia="仿宋_GB2312" w:cs="Times New Roman"/>
                <w:kern w:val="0"/>
                <w:sz w:val="22"/>
                <w:szCs w:val="22"/>
                <w:lang w:bidi="ar"/>
              </w:rPr>
              <w:t>停产后重新生产的，企业应当制定相应规程，明确对生产环境、生产设备、供应商、工艺用水、工艺用气和空调净化系统等的评估要求，必要时开展验证或者确认。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839834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B651020">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《规范》第九十四条</w:t>
            </w:r>
          </w:p>
        </w:tc>
      </w:tr>
      <w:tr w14:paraId="3381E987">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8E8C96">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第十一章</w:t>
            </w:r>
          </w:p>
          <w:p w14:paraId="48ED5C8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质量控制与产品放行</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343568">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8F8836">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8B5DF5F">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植入性无菌医疗器械生产企业应当具备无菌、微生物限度和阳性对照的检测能力和条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156152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1E526EA">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《规范》第九十五条</w:t>
            </w:r>
            <w:r>
              <w:rPr>
                <w:rFonts w:hint="eastAsia" w:ascii="Times New Roman" w:hAnsi="Times New Roman" w:eastAsia="仿宋_GB2312" w:cs="Times New Roman"/>
                <w:kern w:val="0"/>
                <w:sz w:val="22"/>
                <w:szCs w:val="22"/>
                <w:lang w:eastAsia="zh-CN" w:bidi="ar"/>
              </w:rPr>
              <w:t>，</w:t>
            </w:r>
          </w:p>
          <w:p w14:paraId="0593ED56">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2.7.1</w:t>
            </w:r>
          </w:p>
        </w:tc>
      </w:tr>
      <w:tr w14:paraId="526BC4F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1003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D097C68">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320D339">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40B5571">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检验人员教育背景、技术能力和数量应当与产品检验检测工作相匹配，经过与所从事检验检测操作相关的实践培训并考核合格后上岗。</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BB6F876">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10904E5">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《规范》第九十六条</w:t>
            </w:r>
          </w:p>
        </w:tc>
      </w:tr>
      <w:tr w14:paraId="329C199C">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D61D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982DB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6EBD0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A8B550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企业应当依据法律、法规、规章、强制性标准以及经注册或者备案的产品技术要求，基于风险管理原则和产品质量保证能力等，制定进货检验规程、过程检验规程和成品检验规程等文件。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00F646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C7FE5B7">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《规范》第九十七条</w:t>
            </w:r>
            <w:r>
              <w:rPr>
                <w:rFonts w:hint="eastAsia" w:ascii="Times New Roman" w:hAnsi="Times New Roman" w:eastAsia="仿宋_GB2312" w:cs="Times New Roman"/>
                <w:kern w:val="0"/>
                <w:sz w:val="22"/>
                <w:szCs w:val="22"/>
                <w:lang w:eastAsia="zh-CN" w:bidi="ar"/>
              </w:rPr>
              <w:t>，</w:t>
            </w:r>
          </w:p>
          <w:p w14:paraId="7DDD8E5E">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2.7.5</w:t>
            </w:r>
          </w:p>
        </w:tc>
      </w:tr>
      <w:tr w14:paraId="7F931CD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12B0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91847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86B46A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DCCC03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检验规程应当覆盖产品技术要求载明的性能指标，不能覆盖的应当予以说明，必要时给出经确认的替代解决方案。</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309E12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F9599A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《规范》第九十七条</w:t>
            </w:r>
          </w:p>
        </w:tc>
      </w:tr>
      <w:tr w14:paraId="6728475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B04F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9996D8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3CCA09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38F800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企业应当按要求检测产品初始污染菌和微粒并保持相关记录。应当定期对检测记录进行汇总和趋势分析。</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C01259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A2F5753">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2.7.4</w:t>
            </w:r>
          </w:p>
        </w:tc>
      </w:tr>
      <w:tr w14:paraId="682C699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415A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4C865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53676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947F5F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检验方法应当与产品的性能指标相适应。</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DE51F1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19A7F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《规范》第九十八条</w:t>
            </w:r>
          </w:p>
        </w:tc>
      </w:tr>
      <w:tr w14:paraId="51AF870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D9F5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D5069C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21CE9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BF82FA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对检验工作所需的标准品（参考品）、菌种、培养基以及其他辅助用品，企业应当根据其控制特点制定管理文件，确保满足检验要求。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883905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B550AD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《规范》第九十八条</w:t>
            </w:r>
          </w:p>
        </w:tc>
      </w:tr>
      <w:tr w14:paraId="6F03081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F64C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6F4DB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8E7AB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968239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企业应当建立检验样品管理规程，明确取样方法、取样量、标识、存放条件等要求，确保取样、分发、接收、存放、返回或者报废等过程受控。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BED4EF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6B4786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《规范》第九十九条</w:t>
            </w:r>
          </w:p>
        </w:tc>
      </w:tr>
      <w:tr w14:paraId="37C8106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8989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53E686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0E8F3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851D1F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企业应当按照检验规程开展检验检测活动。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8218E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E20758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《规范》第一百条</w:t>
            </w:r>
          </w:p>
        </w:tc>
      </w:tr>
      <w:tr w14:paraId="4D56505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F695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A7461A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0CEF0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5354EB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每批（台）产品均应当有检验记录，并满足追溯要求。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E666C0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6EDC48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《规范》第一百条</w:t>
            </w:r>
          </w:p>
        </w:tc>
      </w:tr>
      <w:tr w14:paraId="3829821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9328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23091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54B68C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66D3ED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649653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052E5B9">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《规范》第一百条</w:t>
            </w:r>
            <w:r>
              <w:rPr>
                <w:rFonts w:hint="eastAsia" w:ascii="Times New Roman" w:hAnsi="Times New Roman" w:eastAsia="仿宋_GB2312" w:cs="Times New Roman"/>
                <w:kern w:val="0"/>
                <w:sz w:val="22"/>
                <w:szCs w:val="22"/>
                <w:lang w:eastAsia="zh-CN" w:bidi="ar"/>
              </w:rPr>
              <w:t>，</w:t>
            </w:r>
          </w:p>
          <w:p w14:paraId="422A434C">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2.7.5</w:t>
            </w:r>
          </w:p>
        </w:tc>
      </w:tr>
      <w:tr w14:paraId="780723D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F2D6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4D010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9214E6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CCCFF73">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检验设备管理至少包括下列内容：</w:t>
            </w:r>
          </w:p>
          <w:p w14:paraId="6969ADF5">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（一）检验设备经过校准或者检定，结果经过确认；</w:t>
            </w:r>
          </w:p>
          <w:p w14:paraId="5C3FE011">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（二）明确检验设备搬运、储存、维护和维修等要求；</w:t>
            </w:r>
          </w:p>
          <w:p w14:paraId="2E65CED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（三）检验设备不符合要求时，应当立即停止使用，并对以往检验结果进行评价。必要时，采取相应措施并保留记录。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87E587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23E51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《规范》第一百零一条</w:t>
            </w:r>
          </w:p>
        </w:tc>
      </w:tr>
      <w:tr w14:paraId="4AA4816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A42C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779379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08E196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40C2F0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企业应当结合产品检验要求对检验环境进行规定、监测和控制，并保留记录。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E9E422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8BACCF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《规范》第一百零二条</w:t>
            </w:r>
          </w:p>
        </w:tc>
      </w:tr>
      <w:tr w14:paraId="46D70A4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B894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8E96E7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1EF88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F4FF98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开展特殊专业检验的实验室，环境设施条件应当符合特定专业要求。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7A5307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A74AE9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《规范》第一百零二条</w:t>
            </w:r>
          </w:p>
        </w:tc>
      </w:tr>
      <w:tr w14:paraId="5CBF2FC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58ACF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9A640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7FFF4B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7DC58F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企业应当根据产品特性制定检验结果不合格调查处理规程。</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D8D4D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06F00D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《规范》第一百零三条</w:t>
            </w:r>
          </w:p>
        </w:tc>
      </w:tr>
      <w:tr w14:paraId="6032E48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D0E8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9F0ED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F4105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01FA10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任何检验不合格均应当进行调查处理，并保留记录。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04CC7A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C153F6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《规范》第一百零三条</w:t>
            </w:r>
          </w:p>
        </w:tc>
      </w:tr>
      <w:tr w14:paraId="11C26D2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C1AD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27A76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C10906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B164FA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对检验过程偏差造成的不合格，可以进行复检。</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CB438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4B6ACD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《规范》第一百零三条</w:t>
            </w:r>
          </w:p>
        </w:tc>
      </w:tr>
      <w:tr w14:paraId="579AFAA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E551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7B23A1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E56E3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5663F9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企业应当建立产品放行工作程序，明确产品放行条件、审核和批准要求等，确认产品至少符合下列条件后，经授权的放行人员按照规定签发产品放行单：</w:t>
            </w:r>
          </w:p>
          <w:p w14:paraId="172D4BC2">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（一）完成所有规定的工艺流程；</w:t>
            </w:r>
          </w:p>
          <w:p w14:paraId="51AEC67F">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（二）批生产记录完整齐全；</w:t>
            </w:r>
          </w:p>
          <w:p w14:paraId="1FA6A46F">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（三）质量控制记录完整齐全，结果符合规定要求，已按照规定签发记录；</w:t>
            </w:r>
          </w:p>
          <w:p w14:paraId="3BC388EC">
            <w:pPr>
              <w:widowControl/>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（四）产品生产过程中出现的不合格、返工、返修、降级使用、紧急放行等特殊情况已经按照规定处理完毕；</w:t>
            </w:r>
          </w:p>
          <w:p w14:paraId="76664D9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（五）产品说明书、标签及其版本、医疗器械唯一标识赋码符合规定要求。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54912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3C7505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《规范》第一百零四条</w:t>
            </w:r>
          </w:p>
        </w:tc>
      </w:tr>
      <w:tr w14:paraId="1F1DE09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E477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D53211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4F5541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D14E24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完成放行的产品应当附有合格证明文件，合格证明文件可以是产品检验报告、放行单、合格标识或者合格证等。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75F9D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3314B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《规范》第一百零四条</w:t>
            </w:r>
          </w:p>
        </w:tc>
      </w:tr>
      <w:tr w14:paraId="06FE466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DA06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A25932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955F0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11.10.3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030F72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委托生产的，产品放行包括生产放行和上市放行。医疗器械注册人、备案人负责上市放行，受托生产企业负责生产放行。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2F11A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2587B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《规范》第一百零四条</w:t>
            </w:r>
          </w:p>
        </w:tc>
      </w:tr>
      <w:tr w14:paraId="72B6991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49C7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A8045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80987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C9F1E2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企业应当根据产品和工艺特点制定留样管理规程，根据产品留样目的确定留样数量和留样方式，按照生产批或灭菌批等进行留样，并保存留样观察记录或留样检验记录。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6F6144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E89841F">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《规范》第一百零五条</w:t>
            </w:r>
            <w:r>
              <w:rPr>
                <w:rFonts w:hint="eastAsia" w:ascii="Times New Roman" w:hAnsi="Times New Roman" w:eastAsia="仿宋_GB2312" w:cs="Times New Roman"/>
                <w:kern w:val="0"/>
                <w:sz w:val="22"/>
                <w:szCs w:val="22"/>
                <w:lang w:eastAsia="zh-CN" w:bidi="ar"/>
              </w:rPr>
              <w:t>，</w:t>
            </w:r>
          </w:p>
          <w:p w14:paraId="2E53D175">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2.7.6</w:t>
            </w:r>
          </w:p>
        </w:tc>
      </w:tr>
      <w:tr w14:paraId="74B87F85">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481B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976802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9E797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DEA3A4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需要常规控制的进货检验、过程检验和成品检验项目一般不得进行委托检验。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018E12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AE2E2E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2CB7056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818D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B24B7D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6A0F7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3C73BB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对于检验条件和设备要求较高，确需委托检验的项目，可以委托具有资质的机构进行检验。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D2552D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D148E2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3C776EA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8D161">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D67C20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3B3FD2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11.12.3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D44DA9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委托检验的，企业应当与受托检验机构签订质量协议，明确规定双方责任和委托检验要求。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B5FD0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32B63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2F0CA76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30A1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24558B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DEC3C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11.12.4</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C3EC90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委托方应当对受托检验机构的检验能力开展评价，并对委托检验结果进行确认。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5F65AC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62877D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6A20EA52">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B50A9E">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第十二章</w:t>
            </w:r>
          </w:p>
          <w:p w14:paraId="3D9FB58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委托生产与外协加工</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1CD54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8B7F92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B2CC42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委托生产医疗器械的，委托方质量管理体系应当覆盖医疗器械全生命周期。受托生产企业质量管理体系应当包括与受托生产活动相关内容。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83385D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E4513C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《规范》第一百零七条</w:t>
            </w:r>
          </w:p>
        </w:tc>
      </w:tr>
      <w:tr w14:paraId="2E7C614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BE3D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A2EA62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E41D60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CD880B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委托双方应当建立有效沟通机制，确保质量管理体系有效衔接与运行。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65B9DA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839FA4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《规范》第一百零七条</w:t>
            </w:r>
          </w:p>
        </w:tc>
      </w:tr>
      <w:tr w14:paraId="2FDD409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2949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FB12D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A8F40F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D743CB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委托方与受托方应当签订质量协议，明确双方在产品生产全过程中各自的权利、义务和责任。委托方不得通过协议转移依法应当由其履行的义务和责任。</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D5CD44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79AC93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《规范》第一百零八条</w:t>
            </w:r>
          </w:p>
        </w:tc>
      </w:tr>
      <w:tr w14:paraId="7C29BDA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D44A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639209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812AE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A59718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F38629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496A25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《规范》第一百零九条</w:t>
            </w:r>
          </w:p>
        </w:tc>
      </w:tr>
      <w:tr w14:paraId="2B97EC23">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604A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88B79A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122B5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1BFCE57">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受托方应当接受委托方的审核和监督，并及时采取纠正预防措施落实其整改要求。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808EDC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F13B25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《规范》第一百零九条</w:t>
            </w:r>
          </w:p>
        </w:tc>
      </w:tr>
      <w:tr w14:paraId="3BB7997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981D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5715D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A7FFD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E8DA095">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544A63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B638171">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《规范》第一百一十条</w:t>
            </w:r>
          </w:p>
        </w:tc>
      </w:tr>
      <w:tr w14:paraId="41858F1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B510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3C062C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EF80C6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17A12F">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受托方的管理者代表、生产管理部门负责人、质量管理部门负责人、放行审核人等关键岗位人员应当熟悉受托生产产品生产和质量管理情况。</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CFC61F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AEA70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《规范》第一百一十条</w:t>
            </w:r>
          </w:p>
        </w:tc>
      </w:tr>
      <w:tr w14:paraId="02FC9C7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863C4">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133004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B2474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DD73F0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委托方应当与受托方共同策划完成生产转换活动，确保产品技术要求、原材料和生产工艺要求以及说明书和标签等有效转移到受托方。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B2EE64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A70135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《规范》第一百一十一条</w:t>
            </w:r>
          </w:p>
        </w:tc>
      </w:tr>
      <w:tr w14:paraId="667EA59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A0C0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AFF316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C5D62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844E5F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受托方应当开展试生产以及相应验证与确认活动，试生产应当包括所转移的全部生产和质量控制过程。</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516BFB2">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852C048">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《规范》第一百一十一条</w:t>
            </w:r>
          </w:p>
        </w:tc>
      </w:tr>
      <w:tr w14:paraId="3D8EC99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C15F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B0771D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7A2F1A">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D0472A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委托方设计变更、采购变更等应当及时通知受托方，并监督其执行变更要求；应当采取有效措施，确保及时获知受托方发生的可能影响产品质量的变更，并与受托方开展联合评估。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3066A2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607A3A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《规范》第一百一十二条</w:t>
            </w:r>
          </w:p>
        </w:tc>
      </w:tr>
      <w:tr w14:paraId="40C1800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F12BD">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07CEC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47F73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CEEAC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受托方应当落实委托方的变更要求，并结合生产质量管理情况向委托方反馈变更需求。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8E6B355">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49FF8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《规范》第一百一十二条</w:t>
            </w:r>
          </w:p>
        </w:tc>
      </w:tr>
      <w:tr w14:paraId="2EDDBF6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4CCA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DB18A0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3F6DF38">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8642FB6">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3D7217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CF4834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《规范》第一百一十三条</w:t>
            </w:r>
          </w:p>
        </w:tc>
      </w:tr>
      <w:tr w14:paraId="7D6F328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F0E8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BA3F8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8D933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B5D0131">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214288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095C11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《规范》第一百一十三条</w:t>
            </w:r>
          </w:p>
        </w:tc>
      </w:tr>
      <w:tr w14:paraId="42B4328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31AD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6D7C26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2CFBF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EAF007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受托方应当及时向委托方报告生产过程中出现的可能影响产品质量的偏差、变更、异常情况，并保留处理记录。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C89888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0DF433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《规范》第一百一十四条</w:t>
            </w:r>
          </w:p>
        </w:tc>
      </w:tr>
      <w:tr w14:paraId="1E4BD98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CD079">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6AAB5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CD5CB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EFE646B">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产品实现过程中涉及外协加工的，企业应当建立外协加工控制程序，对外协加工过程实施控制，确保满足相关法律法规要求。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0A1065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2CD8CD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《规范》第一百一十五条</w:t>
            </w:r>
          </w:p>
        </w:tc>
      </w:tr>
      <w:tr w14:paraId="21BECBAE">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EB6B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2BE40D">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95060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12.10.1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D12B8A9">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企业至少应当将外协加工方作为供应商进行管理，对外协加工方加工能力、质量保证能力、风险管理能力等进行评估。</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2E1B5D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2CE938E">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《规范》第一百一十六条</w:t>
            </w:r>
          </w:p>
        </w:tc>
      </w:tr>
      <w:tr w14:paraId="746EC31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E06DB">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F57A8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8D070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12.10.2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CB26580">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D0435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C91245D">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《规范》第一百一十六条</w:t>
            </w:r>
          </w:p>
        </w:tc>
      </w:tr>
      <w:tr w14:paraId="56DDD7B3">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B9079">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第十三章</w:t>
            </w:r>
          </w:p>
          <w:p w14:paraId="1D236517">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销售与售后服务</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622D1FF">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4E595B">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7FFFC70">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产品销售与售后服务等活动应当符合医疗器械相关法律、法规、规章和规范要求。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6222B19">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5204D0">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《规范》第一百一十七条</w:t>
            </w:r>
          </w:p>
        </w:tc>
      </w:tr>
      <w:tr w14:paraId="50D7A6DA">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54F8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FCA73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5CB2A6">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84300AD">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企业应当保留产品销售记录，并要求其代理商或经销商保存医疗器械分销记录，以满足追溯要求。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48EFAB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E907DE5">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《规范》第一百一十七条</w:t>
            </w:r>
            <w:r>
              <w:rPr>
                <w:rFonts w:hint="eastAsia" w:ascii="Times New Roman" w:hAnsi="Times New Roman" w:eastAsia="仿宋_GB2312" w:cs="Times New Roman"/>
                <w:kern w:val="0"/>
                <w:sz w:val="22"/>
                <w:szCs w:val="22"/>
                <w:lang w:eastAsia="zh-CN" w:bidi="ar"/>
              </w:rPr>
              <w:t>，</w:t>
            </w:r>
          </w:p>
          <w:p w14:paraId="7579ABC3">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2.8.1</w:t>
            </w:r>
          </w:p>
        </w:tc>
      </w:tr>
      <w:tr w14:paraId="59B2F011">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5CE72">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7B4C89">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36F8E3">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13.1.3</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C1D1BDC">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销售记录至少包括医疗器械名称、规格、型号、数量、生产批号或者产品编号（序列号）、医疗器械唯一标识、使用期限（预期使用期限）或者失效日期、销售日期、购货单位名称和地址、货运包装收件人的名字和地址、联系方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77C2A2">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1670BDC">
            <w:pPr>
              <w:widowControl/>
              <w:spacing w:line="300" w:lineRule="exact"/>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《规范》第一百一十七条</w:t>
            </w:r>
            <w:r>
              <w:rPr>
                <w:rFonts w:hint="eastAsia" w:ascii="Times New Roman" w:hAnsi="Times New Roman" w:eastAsia="仿宋_GB2312" w:cs="Times New Roman"/>
                <w:kern w:val="0"/>
                <w:sz w:val="22"/>
                <w:szCs w:val="22"/>
                <w:lang w:eastAsia="zh-CN" w:bidi="ar"/>
              </w:rPr>
              <w:t>，</w:t>
            </w:r>
          </w:p>
          <w:p w14:paraId="1C46D658">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2.8.1</w:t>
            </w:r>
          </w:p>
        </w:tc>
      </w:tr>
      <w:tr w14:paraId="0432936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2D73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FA8C2D">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F945C8C">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4BD5583">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企业应当采用经验证或者确认的运输条件和工具运输产品并做好产品防护。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8E7D8F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26C9F74">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《规范》第一百一十八条</w:t>
            </w:r>
          </w:p>
        </w:tc>
      </w:tr>
      <w:tr w14:paraId="26A8890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68F2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D0921B">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7944439">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1572FA3">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对有特殊要求的，企业应当对运输过程实施监控。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B5477BE">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15E6830">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《规范》第一百一十八条</w:t>
            </w:r>
          </w:p>
        </w:tc>
      </w:tr>
      <w:tr w14:paraId="288E945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4E9AF">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4DFF7F4">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54C723">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730CAB0">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企业应当具备与所生产产品相适应的售后服务能力，建立健全售后服务制度。</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036EFE8">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860067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《规范》第一百一十九条</w:t>
            </w:r>
          </w:p>
        </w:tc>
      </w:tr>
      <w:tr w14:paraId="3A328AF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E7CAA">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C4AC278">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8F4117">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8ACDFF5">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企业应当规定售后服务要求，保留售后服务记录，并满足追溯要求。</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5CEA11">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2ED618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《规范》第一百一十九条</w:t>
            </w:r>
          </w:p>
        </w:tc>
      </w:tr>
      <w:tr w14:paraId="03686A5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8CE67">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8BDE493">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B8092C">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38F0714">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需要由企业安装的医疗器械，企业应当确定安装要求和安装验证接收标准，并保留安装和验收记录。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3A8DE58">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04C6AA">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《规范》第一百二十条</w:t>
            </w:r>
          </w:p>
        </w:tc>
      </w:tr>
      <w:tr w14:paraId="4B7303F7">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AF1B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F7147D7">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5609BE">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A34C5AB">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由使用单位或者其他企业进行安装、维修的，企业应当提供安装要求、标准和维修零部件、资料、密码等，并进行指导。</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B2B1443">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B40222">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《规范》第一百二十条</w:t>
            </w:r>
          </w:p>
        </w:tc>
      </w:tr>
      <w:tr w14:paraId="749F6A08">
        <w:tblPrEx>
          <w:tblCellMar>
            <w:top w:w="0" w:type="dxa"/>
            <w:left w:w="108" w:type="dxa"/>
            <w:bottom w:w="0" w:type="dxa"/>
            <w:right w:w="108" w:type="dxa"/>
          </w:tblCellMar>
        </w:tblPrEx>
        <w:trPr>
          <w:cantSplit/>
        </w:trPr>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54FFE7">
            <w:pPr>
              <w:widowControl/>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第十四章</w:t>
            </w:r>
          </w:p>
          <w:p w14:paraId="1106B61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分析与改进</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80C696F">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56A280">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14.1.1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3E2A422">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企业应当开展产品和质量管理体系监测、分析和改进活动，确保产品安全有效、质量管理体系持续有效运行。</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9CC6C71">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A0302EF">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《规范》第一百二十一条</w:t>
            </w:r>
          </w:p>
        </w:tc>
      </w:tr>
      <w:tr w14:paraId="6538F55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B28D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A46991">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7E201E">
            <w:pPr>
              <w:widowControl/>
              <w:spacing w:line="300" w:lineRule="exact"/>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14.1.2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0CF251B">
            <w:pPr>
              <w:widowControl/>
              <w:spacing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对取出的植入性医疗器械进行分析研究的规定并形成文件。在获得取出的植入性医疗器械后，企业应当对其分析研究，了解植入产品有效性和安全性方面的信息，以用于提高产品质量和改进产品安全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1C877A2">
            <w:pPr>
              <w:widowControl/>
              <w:spacing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416696">
            <w:pPr>
              <w:widowControl/>
              <w:spacing w:line="300" w:lineRule="exact"/>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2.9.1</w:t>
            </w:r>
          </w:p>
        </w:tc>
      </w:tr>
      <w:tr w14:paraId="245EB84D">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232E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B966A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58480F">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0E02DCA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企业应当建立产品质量投诉和顾客反馈处理程序，明确相关部门职责，及时接收、调查、评价和处理投诉与反馈意见，并保留相关记录。</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32EC0D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E1BDE6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《规范》第一百二十二条</w:t>
            </w:r>
          </w:p>
        </w:tc>
      </w:tr>
      <w:tr w14:paraId="034D7F7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253BC">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8CE42D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1D8A274">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AB839B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企业应当建立医疗器械不良事件监测制度，对发生的不良事件及时报告，并开展调查、分析、评价，必要时采取风险控制措施。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F57667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5438E21">
            <w:pPr>
              <w:widowControl/>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《规范》第一百二十三条</w:t>
            </w:r>
            <w:r>
              <w:rPr>
                <w:rFonts w:hint="eastAsia" w:ascii="Times New Roman" w:hAnsi="Times New Roman" w:eastAsia="仿宋_GB2312" w:cs="Times New Roman"/>
                <w:kern w:val="0"/>
                <w:sz w:val="22"/>
                <w:szCs w:val="22"/>
                <w:lang w:eastAsia="zh-CN" w:bidi="ar"/>
              </w:rPr>
              <w:t>，</w:t>
            </w:r>
          </w:p>
          <w:p w14:paraId="0142EE1D">
            <w:pPr>
              <w:widowControl/>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《植入附录》</w:t>
            </w:r>
            <w:r>
              <w:rPr>
                <w:rFonts w:hint="default" w:ascii="Times New Roman" w:hAnsi="Times New Roman" w:eastAsia="仿宋_GB2312" w:cs="Times New Roman"/>
                <w:kern w:val="0"/>
                <w:sz w:val="22"/>
                <w:szCs w:val="22"/>
                <w:lang w:bidi="ar"/>
              </w:rPr>
              <w:t>2.9.2</w:t>
            </w:r>
          </w:p>
        </w:tc>
      </w:tr>
      <w:tr w14:paraId="3FBBC30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AA98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C4420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7739C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5DA3CCA3">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138701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A3D37E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《规范》第一百二十四条</w:t>
            </w:r>
          </w:p>
        </w:tc>
      </w:tr>
      <w:tr w14:paraId="5F2D6984">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EBE98">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4317597">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F12049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744EE9C">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6722BC">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F80050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《规范》第一百二十五条</w:t>
            </w:r>
          </w:p>
        </w:tc>
      </w:tr>
      <w:tr w14:paraId="58044DCF">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02DE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21E8BA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9A4AC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2C16192">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企业采取的纠正预防措施应当与问题影响程度相适应，且经验证无不良影响。措施有效性应当进行确认。</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26DD7B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0A253E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《规范》第一百二十五条</w:t>
            </w:r>
          </w:p>
        </w:tc>
      </w:tr>
      <w:tr w14:paraId="3973A8EB">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F3090">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EF0B9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0472740">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2A3A056D">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企业应当建立医疗器械召回管理制度，收集医疗器械安全相关信息，对可能的缺陷产品进行调查、评估，及时召回缺陷产品，并按照规定报告有关部门。</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CFBB6A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E9784A6">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《规范》第一百二十六条</w:t>
            </w:r>
          </w:p>
        </w:tc>
      </w:tr>
      <w:tr w14:paraId="396B8176">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C8CE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D184D1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B7E72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69E058CE">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企业应当建立产品信息告知程序，及时将与产品安全有关的变化信息通知相关企业、使用单位或者消费者。</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6CE1050">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BD2A6F3">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《规范》第一百二十七条</w:t>
            </w:r>
          </w:p>
        </w:tc>
      </w:tr>
      <w:tr w14:paraId="0BE105B9">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35983">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58BB5F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B293B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45137E48">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企业应当建立质量管理体系内部审核程序，确定审核准则、范围、频次、参加人员、方法、记录要求、纠正预防措施有效性评定等内容。</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2854AD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C0E691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《规范》第一百二十八条</w:t>
            </w:r>
          </w:p>
        </w:tc>
      </w:tr>
      <w:tr w14:paraId="589329D8">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83565">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88DD24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4D1B0F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131CD3C4">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企业应当制定内部审核计划，按计划实施内部审核并形成审核报告，对审核发现的不合格问题应当采取纠正预防措施。</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80007C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1D19DDA">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《规范》第一百二十八条</w:t>
            </w:r>
          </w:p>
        </w:tc>
      </w:tr>
      <w:tr w14:paraId="229EEF62">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BEF16">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5178BB3">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34139D6">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14.9.1</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392F3759">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0086FA9">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587CDEF">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《规范》第一百二十九条</w:t>
            </w:r>
          </w:p>
        </w:tc>
      </w:tr>
      <w:tr w14:paraId="36976B40">
        <w:tblPrEx>
          <w:tblCellMar>
            <w:top w:w="0" w:type="dxa"/>
            <w:left w:w="108" w:type="dxa"/>
            <w:bottom w:w="0" w:type="dxa"/>
            <w:right w:w="108" w:type="dxa"/>
          </w:tblCellMar>
        </w:tblPrEx>
        <w:trPr>
          <w:cantSplit/>
        </w:trPr>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2D1AE">
            <w:pPr>
              <w:jc w:val="center"/>
              <w:rPr>
                <w:rFonts w:hint="default" w:ascii="Times New Roman" w:hAnsi="Times New Roman" w:eastAsia="仿宋_GB2312" w:cs="Times New Roman"/>
                <w:sz w:val="22"/>
                <w:szCs w:val="22"/>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A00DC5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98B89C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14.9.2</w:t>
            </w:r>
          </w:p>
        </w:tc>
        <w:tc>
          <w:tcPr>
            <w:tcW w:w="4479" w:type="dxa"/>
            <w:tcBorders>
              <w:top w:val="single" w:color="000000" w:sz="4" w:space="0"/>
              <w:left w:val="single" w:color="000000" w:sz="4" w:space="0"/>
              <w:bottom w:val="single" w:color="000000" w:sz="4" w:space="0"/>
              <w:right w:val="single" w:color="000000" w:sz="4" w:space="0"/>
            </w:tcBorders>
            <w:noWrap w:val="0"/>
            <w:vAlign w:val="center"/>
          </w:tcPr>
          <w:p w14:paraId="7AE08D3A">
            <w:pPr>
              <w:widowControl/>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企业应当形成管理评审报告并有相应改进措施，确保质量管理体系的持续适宜性、充分性和有效性。</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88E8954">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2B884FB">
            <w:pPr>
              <w:widowControl/>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《规范》第一百二十九条</w:t>
            </w:r>
          </w:p>
        </w:tc>
      </w:tr>
    </w:tbl>
    <w:p w14:paraId="4F32441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87869"/>
    <w:rsid w:val="79387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2026-09-24T02:52:00Z</dcterms:created>
  <dc:creator>YU</dc:creator>
  <cp:lastModifiedBy>YU</cp:lastModifiedBy>
  <dcterms:modified xsi:type="dcterms:W3CDTF">2026-09-24T02:52:48Z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2BC5E81A6D924519B967606A0F401019_11</vt:lpwstr>
  </property>
  <property fmtid="{D5CDD505-2E9C-101B-9397-08002B2CF9AE}" pid="4" name="KSOTemplateDocerSaveRecord">
    <vt:lpwstr>eyJoZGlkIjoiNzUzMjcxYjI3MDRjMDIwZmVmYTgzNGM3MjE3OGJkMDMiLCJ1c2VySWQiOiIyNzgyMDExNzcifQ==</vt:lpwstr>
  </property>
</Properties>
</file>