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B4513" w14:textId="72DF7963" w:rsidR="004D49D3" w:rsidRPr="004D49D3" w:rsidRDefault="004D49D3" w:rsidP="004D49D3">
      <w:pPr>
        <w:topLinePunct w:val="0"/>
        <w:spacing w:line="580" w:lineRule="exact"/>
        <w:jc w:val="left"/>
        <w:rPr>
          <w:rFonts w:ascii="宋体" w:eastAsia="宋体" w:hAnsi="宋体" w:cs="方正小标宋简体" w:hint="default"/>
          <w:b/>
          <w:sz w:val="28"/>
          <w:szCs w:val="28"/>
        </w:rPr>
      </w:pPr>
      <w:bookmarkStart w:id="0" w:name="_GoBack"/>
      <w:r w:rsidRPr="004D49D3">
        <w:rPr>
          <w:rFonts w:ascii="宋体" w:eastAsia="宋体" w:hAnsi="宋体" w:cs="方正小标宋简体" w:hint="default"/>
          <w:b/>
          <w:sz w:val="28"/>
          <w:szCs w:val="28"/>
        </w:rPr>
        <w:t>附件：</w:t>
      </w:r>
      <w:r w:rsidRPr="004D49D3">
        <w:rPr>
          <w:rFonts w:ascii="宋体" w:eastAsia="宋体" w:hAnsi="宋体" w:cs="方正小标宋简体"/>
          <w:b/>
          <w:sz w:val="28"/>
          <w:szCs w:val="28"/>
        </w:rPr>
        <w:t>1</w:t>
      </w:r>
      <w:r w:rsidRPr="004D49D3">
        <w:rPr>
          <w:rFonts w:ascii="宋体" w:eastAsia="宋体" w:hAnsi="宋体" w:cs="方正小标宋简体" w:hint="default"/>
          <w:b/>
          <w:sz w:val="28"/>
          <w:szCs w:val="28"/>
        </w:rPr>
        <w:t>3</w:t>
      </w:r>
    </w:p>
    <w:bookmarkEnd w:id="0"/>
    <w:p w14:paraId="4943B9A8" w14:textId="77777777" w:rsidR="00B36616" w:rsidRDefault="00BD7731">
      <w:pPr>
        <w:topLinePunct w:val="0"/>
        <w:spacing w:line="580" w:lineRule="exac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公平竞争审查表</w:t>
      </w:r>
    </w:p>
    <w:p w14:paraId="5E7F127E" w14:textId="77777777" w:rsidR="00B36616" w:rsidRDefault="00B36616">
      <w:pPr>
        <w:topLinePunct w:val="0"/>
        <w:spacing w:line="400" w:lineRule="exact"/>
        <w:jc w:val="center"/>
        <w:rPr>
          <w:rFonts w:ascii="方正小标宋简体" w:eastAsia="方正小标宋简体" w:hAnsi="方正小标宋简体" w:cs="方正小标宋简体" w:hint="default"/>
          <w:sz w:val="44"/>
          <w:szCs w:val="4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2857"/>
        <w:gridCol w:w="2140"/>
        <w:gridCol w:w="2455"/>
        <w:gridCol w:w="2862"/>
        <w:gridCol w:w="842"/>
        <w:gridCol w:w="2792"/>
      </w:tblGrid>
      <w:tr w:rsidR="00B36616" w14:paraId="45EE3804" w14:textId="77777777" w:rsidTr="00BD7731">
        <w:trPr>
          <w:trHeight w:hRule="exact" w:val="381"/>
          <w:jc w:val="center"/>
        </w:trPr>
        <w:tc>
          <w:tcPr>
            <w:tcW w:w="1024" w:type="pct"/>
            <w:vAlign w:val="center"/>
          </w:tcPr>
          <w:p w14:paraId="5952E532" w14:textId="77777777" w:rsidR="00B36616" w:rsidRDefault="00BD7731">
            <w:pPr>
              <w:topLinePunct w:val="0"/>
              <w:jc w:val="center"/>
              <w:rPr>
                <w:rFonts w:eastAsia="黑体" w:cs="黑体" w:hint="default"/>
                <w:sz w:val="21"/>
                <w:szCs w:val="21"/>
              </w:rPr>
            </w:pPr>
            <w:r>
              <w:rPr>
                <w:rFonts w:eastAsia="黑体" w:cs="黑体"/>
                <w:sz w:val="21"/>
                <w:szCs w:val="21"/>
              </w:rPr>
              <w:t>标准名称</w:t>
            </w:r>
          </w:p>
        </w:tc>
        <w:tc>
          <w:tcPr>
            <w:tcW w:w="3976" w:type="pct"/>
            <w:gridSpan w:val="5"/>
          </w:tcPr>
          <w:p w14:paraId="56D6CD8B" w14:textId="77777777" w:rsidR="00B36616" w:rsidRDefault="00B36616">
            <w:pPr>
              <w:topLinePunct w:val="0"/>
              <w:jc w:val="center"/>
              <w:rPr>
                <w:rFonts w:eastAsia="黑体" w:cs="黑体" w:hint="default"/>
                <w:sz w:val="21"/>
                <w:szCs w:val="21"/>
              </w:rPr>
            </w:pPr>
          </w:p>
        </w:tc>
      </w:tr>
      <w:tr w:rsidR="00B36616" w14:paraId="176E4074" w14:textId="77777777" w:rsidTr="00BD7731">
        <w:trPr>
          <w:trHeight w:hRule="exact" w:val="385"/>
          <w:jc w:val="center"/>
        </w:trPr>
        <w:tc>
          <w:tcPr>
            <w:tcW w:w="1024" w:type="pct"/>
            <w:vAlign w:val="center"/>
          </w:tcPr>
          <w:p w14:paraId="7F5F7136" w14:textId="77777777" w:rsidR="00B36616" w:rsidRDefault="00BD7731">
            <w:pPr>
              <w:topLinePunct w:val="0"/>
              <w:jc w:val="center"/>
              <w:rPr>
                <w:rFonts w:eastAsia="黑体" w:cs="黑体" w:hint="default"/>
                <w:sz w:val="21"/>
                <w:szCs w:val="21"/>
              </w:rPr>
            </w:pPr>
            <w:r>
              <w:rPr>
                <w:rFonts w:eastAsia="黑体" w:cs="黑体"/>
                <w:sz w:val="21"/>
                <w:szCs w:val="21"/>
              </w:rPr>
              <w:t>单位名称</w:t>
            </w:r>
          </w:p>
        </w:tc>
        <w:tc>
          <w:tcPr>
            <w:tcW w:w="767" w:type="pct"/>
            <w:vAlign w:val="center"/>
          </w:tcPr>
          <w:p w14:paraId="20659C2C" w14:textId="77777777" w:rsidR="00B36616" w:rsidRDefault="00B36616">
            <w:pPr>
              <w:topLinePunct w:val="0"/>
              <w:jc w:val="center"/>
              <w:rPr>
                <w:rFonts w:eastAsia="黑体" w:cs="黑体" w:hint="default"/>
                <w:sz w:val="21"/>
                <w:szCs w:val="21"/>
              </w:rPr>
            </w:pPr>
          </w:p>
        </w:tc>
        <w:tc>
          <w:tcPr>
            <w:tcW w:w="880" w:type="pct"/>
            <w:vAlign w:val="center"/>
          </w:tcPr>
          <w:p w14:paraId="7269DA9A" w14:textId="77777777" w:rsidR="00B36616" w:rsidRDefault="00BD7731">
            <w:pPr>
              <w:topLinePunct w:val="0"/>
              <w:jc w:val="center"/>
              <w:rPr>
                <w:rFonts w:eastAsia="黑体" w:cs="黑体" w:hint="default"/>
                <w:sz w:val="21"/>
                <w:szCs w:val="21"/>
              </w:rPr>
            </w:pPr>
            <w:r>
              <w:rPr>
                <w:rFonts w:eastAsia="黑体" w:cs="黑体"/>
                <w:sz w:val="21"/>
                <w:szCs w:val="21"/>
              </w:rPr>
              <w:t>联系人及电话</w:t>
            </w:r>
          </w:p>
        </w:tc>
        <w:tc>
          <w:tcPr>
            <w:tcW w:w="2329" w:type="pct"/>
            <w:gridSpan w:val="3"/>
            <w:vAlign w:val="center"/>
          </w:tcPr>
          <w:p w14:paraId="36C802E6" w14:textId="77777777" w:rsidR="00B36616" w:rsidRDefault="00B36616">
            <w:pPr>
              <w:topLinePunct w:val="0"/>
              <w:jc w:val="center"/>
              <w:rPr>
                <w:rFonts w:eastAsia="黑体" w:cs="黑体" w:hint="default"/>
                <w:sz w:val="21"/>
                <w:szCs w:val="21"/>
              </w:rPr>
            </w:pPr>
          </w:p>
        </w:tc>
      </w:tr>
      <w:tr w:rsidR="00B36616" w14:paraId="547ED7A1" w14:textId="77777777">
        <w:trPr>
          <w:trHeight w:hRule="exact" w:val="321"/>
          <w:jc w:val="center"/>
        </w:trPr>
        <w:tc>
          <w:tcPr>
            <w:tcW w:w="5000" w:type="pct"/>
            <w:gridSpan w:val="6"/>
            <w:vAlign w:val="center"/>
          </w:tcPr>
          <w:p w14:paraId="0DCA9440" w14:textId="77777777" w:rsidR="00B36616" w:rsidRDefault="00BD7731">
            <w:pPr>
              <w:topLinePunct w:val="0"/>
              <w:jc w:val="center"/>
              <w:rPr>
                <w:rFonts w:eastAsia="黑体" w:cs="黑体" w:hint="default"/>
                <w:sz w:val="21"/>
                <w:szCs w:val="21"/>
              </w:rPr>
            </w:pPr>
            <w:r>
              <w:rPr>
                <w:rFonts w:eastAsia="黑体" w:cs="黑体"/>
                <w:sz w:val="21"/>
                <w:szCs w:val="21"/>
              </w:rPr>
              <w:t>审查内容</w:t>
            </w:r>
          </w:p>
        </w:tc>
      </w:tr>
      <w:tr w:rsidR="00B36616" w14:paraId="75ACB2E8" w14:textId="77777777" w:rsidTr="00BD7731">
        <w:trPr>
          <w:trHeight w:hRule="exact" w:val="352"/>
          <w:jc w:val="center"/>
        </w:trPr>
        <w:tc>
          <w:tcPr>
            <w:tcW w:w="5000" w:type="pct"/>
            <w:gridSpan w:val="6"/>
            <w:vAlign w:val="center"/>
          </w:tcPr>
          <w:p w14:paraId="42F93083" w14:textId="77777777" w:rsidR="00B36616" w:rsidRDefault="00BD7731">
            <w:pPr>
              <w:topLinePunct w:val="0"/>
              <w:rPr>
                <w:rFonts w:eastAsia="黑体" w:cs="黑体" w:hint="default"/>
                <w:sz w:val="21"/>
                <w:szCs w:val="21"/>
              </w:rPr>
            </w:pPr>
            <w:r>
              <w:rPr>
                <w:rFonts w:eastAsia="黑体" w:cs="黑体"/>
                <w:sz w:val="21"/>
                <w:szCs w:val="21"/>
              </w:rPr>
              <w:t>一、是否限制或者变相限制市场准入和退出</w:t>
            </w:r>
          </w:p>
        </w:tc>
      </w:tr>
      <w:tr w:rsidR="00B36616" w14:paraId="073AE230" w14:textId="77777777" w:rsidTr="00BD7731">
        <w:trPr>
          <w:trHeight w:hRule="exact" w:val="352"/>
          <w:jc w:val="center"/>
        </w:trPr>
        <w:tc>
          <w:tcPr>
            <w:tcW w:w="3697" w:type="pct"/>
            <w:gridSpan w:val="4"/>
            <w:vAlign w:val="center"/>
          </w:tcPr>
          <w:p w14:paraId="6F96AC24" w14:textId="77777777" w:rsidR="00B36616" w:rsidRDefault="00BD7731" w:rsidP="00BD7731">
            <w:pPr>
              <w:topLinePunct w:val="0"/>
              <w:rPr>
                <w:rFonts w:eastAsia="仿宋_GB2312" w:cs="仿宋_GB2312" w:hint="default"/>
                <w:sz w:val="21"/>
                <w:szCs w:val="21"/>
              </w:rPr>
            </w:pPr>
            <w:r>
              <w:rPr>
                <w:rFonts w:eastAsia="仿宋_GB2312" w:cs="仿宋_GB2312"/>
                <w:sz w:val="21"/>
                <w:szCs w:val="21"/>
              </w:rPr>
              <w:t>1.</w:t>
            </w:r>
            <w:r>
              <w:rPr>
                <w:rFonts w:eastAsia="仿宋_GB2312" w:cs="仿宋_GB2312"/>
                <w:sz w:val="21"/>
                <w:szCs w:val="21"/>
              </w:rPr>
              <w:t>不含有对市场准入负面清单以外的行业、领域、业务等违法设置审批程序的内容。</w:t>
            </w:r>
          </w:p>
        </w:tc>
        <w:tc>
          <w:tcPr>
            <w:tcW w:w="302" w:type="pct"/>
            <w:vAlign w:val="center"/>
          </w:tcPr>
          <w:p w14:paraId="6DD7555D"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30C4FE28"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1B708EAF" w14:textId="77777777" w:rsidTr="00BD7731">
        <w:trPr>
          <w:trHeight w:hRule="exact" w:val="352"/>
          <w:jc w:val="center"/>
        </w:trPr>
        <w:tc>
          <w:tcPr>
            <w:tcW w:w="3697" w:type="pct"/>
            <w:gridSpan w:val="4"/>
            <w:vAlign w:val="center"/>
          </w:tcPr>
          <w:p w14:paraId="69F2395C" w14:textId="77777777" w:rsidR="00B36616" w:rsidRDefault="00BD7731" w:rsidP="00BD7731">
            <w:pPr>
              <w:topLinePunct w:val="0"/>
              <w:rPr>
                <w:rFonts w:eastAsia="仿宋_GB2312" w:cs="仿宋_GB2312" w:hint="default"/>
                <w:sz w:val="21"/>
                <w:szCs w:val="21"/>
              </w:rPr>
            </w:pPr>
            <w:r>
              <w:rPr>
                <w:rFonts w:eastAsia="仿宋_GB2312" w:cs="仿宋_GB2312"/>
                <w:sz w:val="21"/>
                <w:szCs w:val="21"/>
              </w:rPr>
              <w:t>2.</w:t>
            </w:r>
            <w:r>
              <w:rPr>
                <w:rFonts w:eastAsia="仿宋_GB2312" w:cs="仿宋_GB2312"/>
                <w:sz w:val="21"/>
                <w:szCs w:val="21"/>
              </w:rPr>
              <w:t>不含有限定经营、购买或者使用特定经营者提供的商品或者服务（以下统称商品）。</w:t>
            </w:r>
          </w:p>
        </w:tc>
        <w:tc>
          <w:tcPr>
            <w:tcW w:w="302" w:type="pct"/>
            <w:vAlign w:val="center"/>
          </w:tcPr>
          <w:p w14:paraId="616322FC"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19D19A10"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2FE067F7" w14:textId="77777777" w:rsidTr="00BD7731">
        <w:trPr>
          <w:trHeight w:hRule="exact" w:val="352"/>
          <w:jc w:val="center"/>
        </w:trPr>
        <w:tc>
          <w:tcPr>
            <w:tcW w:w="3697" w:type="pct"/>
            <w:gridSpan w:val="4"/>
            <w:vAlign w:val="center"/>
          </w:tcPr>
          <w:p w14:paraId="43BC13F5" w14:textId="77777777" w:rsidR="00B36616" w:rsidRDefault="00BD7731" w:rsidP="00BD7731">
            <w:pPr>
              <w:topLinePunct w:val="0"/>
              <w:rPr>
                <w:rFonts w:eastAsia="仿宋_GB2312" w:cs="仿宋_GB2312" w:hint="default"/>
                <w:sz w:val="21"/>
                <w:szCs w:val="21"/>
              </w:rPr>
            </w:pPr>
            <w:r>
              <w:rPr>
                <w:rFonts w:eastAsia="仿宋_GB2312" w:cs="仿宋_GB2312"/>
                <w:sz w:val="21"/>
                <w:szCs w:val="21"/>
              </w:rPr>
              <w:t>3.</w:t>
            </w:r>
            <w:r>
              <w:rPr>
                <w:rFonts w:eastAsia="仿宋_GB2312" w:cs="仿宋_GB2312"/>
                <w:sz w:val="21"/>
                <w:szCs w:val="21"/>
              </w:rPr>
              <w:t>不含有设置了不合理或者歧视性的准入、退出条件的内容。</w:t>
            </w:r>
          </w:p>
        </w:tc>
        <w:tc>
          <w:tcPr>
            <w:tcW w:w="302" w:type="pct"/>
            <w:vAlign w:val="center"/>
          </w:tcPr>
          <w:p w14:paraId="088FB492"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0A6028F1"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3665379D" w14:textId="77777777" w:rsidTr="00BD7731">
        <w:trPr>
          <w:trHeight w:hRule="exact" w:val="352"/>
          <w:jc w:val="center"/>
        </w:trPr>
        <w:tc>
          <w:tcPr>
            <w:tcW w:w="3697" w:type="pct"/>
            <w:gridSpan w:val="4"/>
            <w:vAlign w:val="center"/>
          </w:tcPr>
          <w:p w14:paraId="685D96D7" w14:textId="77777777" w:rsidR="00B36616" w:rsidRDefault="00BD7731" w:rsidP="00BD7731">
            <w:pPr>
              <w:topLinePunct w:val="0"/>
              <w:rPr>
                <w:rFonts w:eastAsia="仿宋_GB2312" w:cs="仿宋_GB2312" w:hint="default"/>
                <w:sz w:val="21"/>
                <w:szCs w:val="21"/>
              </w:rPr>
            </w:pPr>
            <w:r>
              <w:rPr>
                <w:rFonts w:eastAsia="仿宋_GB2312" w:cs="仿宋_GB2312"/>
                <w:sz w:val="21"/>
                <w:szCs w:val="21"/>
              </w:rPr>
              <w:t>4.</w:t>
            </w:r>
            <w:r>
              <w:rPr>
                <w:rFonts w:eastAsia="仿宋_GB2312" w:cs="仿宋_GB2312"/>
                <w:sz w:val="21"/>
                <w:szCs w:val="21"/>
              </w:rPr>
              <w:t>不含有其他限制或者变相限制市场准入和退出的内容。</w:t>
            </w:r>
          </w:p>
        </w:tc>
        <w:tc>
          <w:tcPr>
            <w:tcW w:w="302" w:type="pct"/>
            <w:vAlign w:val="center"/>
          </w:tcPr>
          <w:p w14:paraId="0CA0BD4C"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36F0105B"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7E03F942" w14:textId="77777777" w:rsidTr="00BD7731">
        <w:trPr>
          <w:trHeight w:hRule="exact" w:val="352"/>
          <w:jc w:val="center"/>
        </w:trPr>
        <w:tc>
          <w:tcPr>
            <w:tcW w:w="5000" w:type="pct"/>
            <w:gridSpan w:val="6"/>
            <w:vAlign w:val="center"/>
          </w:tcPr>
          <w:p w14:paraId="6641711F" w14:textId="77777777" w:rsidR="00B36616" w:rsidRDefault="00BD7731">
            <w:pPr>
              <w:topLinePunct w:val="0"/>
              <w:rPr>
                <w:rFonts w:eastAsia="黑体" w:cs="黑体" w:hint="default"/>
                <w:sz w:val="21"/>
                <w:szCs w:val="21"/>
              </w:rPr>
            </w:pPr>
            <w:r>
              <w:rPr>
                <w:rFonts w:eastAsia="黑体" w:cs="黑体"/>
                <w:sz w:val="21"/>
                <w:szCs w:val="21"/>
              </w:rPr>
              <w:t>二、是否限制或者变相限制商品要素自由流动</w:t>
            </w:r>
          </w:p>
        </w:tc>
      </w:tr>
      <w:tr w:rsidR="00B36616" w14:paraId="715ADEC0" w14:textId="77777777" w:rsidTr="00BD7731">
        <w:trPr>
          <w:trHeight w:hRule="exact" w:val="352"/>
          <w:jc w:val="center"/>
        </w:trPr>
        <w:tc>
          <w:tcPr>
            <w:tcW w:w="3697" w:type="pct"/>
            <w:gridSpan w:val="4"/>
            <w:vAlign w:val="center"/>
          </w:tcPr>
          <w:p w14:paraId="7E3F9766" w14:textId="77777777" w:rsidR="00B36616" w:rsidRDefault="00BD7731">
            <w:pPr>
              <w:topLinePunct w:val="0"/>
              <w:rPr>
                <w:rFonts w:eastAsia="仿宋_GB2312" w:cs="仿宋_GB2312" w:hint="default"/>
                <w:sz w:val="21"/>
                <w:szCs w:val="21"/>
              </w:rPr>
            </w:pPr>
            <w:r>
              <w:rPr>
                <w:rFonts w:eastAsia="仿宋_GB2312" w:cs="仿宋_GB2312"/>
                <w:sz w:val="21"/>
                <w:szCs w:val="21"/>
              </w:rPr>
              <w:t>5.</w:t>
            </w:r>
            <w:r>
              <w:rPr>
                <w:rFonts w:eastAsia="仿宋_GB2312" w:cs="仿宋_GB2312"/>
                <w:sz w:val="21"/>
                <w:szCs w:val="21"/>
              </w:rPr>
              <w:t>不含有限制外地或者进口商品、要素进入本地市场，或者阻碍本地经营者迁出，商品、要素输出的内容。</w:t>
            </w:r>
          </w:p>
        </w:tc>
        <w:tc>
          <w:tcPr>
            <w:tcW w:w="302" w:type="pct"/>
            <w:vAlign w:val="center"/>
          </w:tcPr>
          <w:p w14:paraId="6CA6A720"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3691A8AE"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35202B32" w14:textId="77777777" w:rsidTr="00BD7731">
        <w:trPr>
          <w:trHeight w:hRule="exact" w:val="352"/>
          <w:jc w:val="center"/>
        </w:trPr>
        <w:tc>
          <w:tcPr>
            <w:tcW w:w="3697" w:type="pct"/>
            <w:gridSpan w:val="4"/>
            <w:vAlign w:val="center"/>
          </w:tcPr>
          <w:p w14:paraId="0C16C5AB" w14:textId="77777777" w:rsidR="00B36616" w:rsidRDefault="00BD7731">
            <w:pPr>
              <w:topLinePunct w:val="0"/>
              <w:rPr>
                <w:rFonts w:eastAsia="仿宋_GB2312" w:cs="仿宋_GB2312" w:hint="default"/>
                <w:sz w:val="21"/>
                <w:szCs w:val="21"/>
              </w:rPr>
            </w:pPr>
            <w:r>
              <w:rPr>
                <w:rFonts w:eastAsia="仿宋_GB2312" w:cs="仿宋_GB2312"/>
                <w:sz w:val="21"/>
                <w:szCs w:val="21"/>
              </w:rPr>
              <w:t>6.</w:t>
            </w:r>
            <w:r>
              <w:rPr>
                <w:rFonts w:eastAsia="仿宋_GB2312" w:cs="仿宋_GB2312"/>
                <w:sz w:val="21"/>
                <w:szCs w:val="21"/>
              </w:rPr>
              <w:t>不含有排斥、限制、强制或者变相强制外地经营者在本地投资经营或者设立分支机构的内容。</w:t>
            </w:r>
          </w:p>
        </w:tc>
        <w:tc>
          <w:tcPr>
            <w:tcW w:w="302" w:type="pct"/>
            <w:vAlign w:val="center"/>
          </w:tcPr>
          <w:p w14:paraId="3C6FCA64"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494D6B3B"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1AB8A217" w14:textId="77777777" w:rsidTr="00BD7731">
        <w:trPr>
          <w:trHeight w:hRule="exact" w:val="352"/>
          <w:jc w:val="center"/>
        </w:trPr>
        <w:tc>
          <w:tcPr>
            <w:tcW w:w="3697" w:type="pct"/>
            <w:gridSpan w:val="4"/>
            <w:vAlign w:val="center"/>
          </w:tcPr>
          <w:p w14:paraId="60A0A8CD" w14:textId="77777777" w:rsidR="00B36616" w:rsidRDefault="00BD7731">
            <w:pPr>
              <w:topLinePunct w:val="0"/>
              <w:rPr>
                <w:rFonts w:eastAsia="仿宋_GB2312" w:cs="仿宋_GB2312" w:hint="default"/>
                <w:sz w:val="21"/>
                <w:szCs w:val="21"/>
              </w:rPr>
            </w:pPr>
            <w:r>
              <w:rPr>
                <w:rFonts w:eastAsia="仿宋_GB2312" w:cs="仿宋_GB2312"/>
                <w:sz w:val="21"/>
                <w:szCs w:val="21"/>
              </w:rPr>
              <w:t>7.</w:t>
            </w:r>
            <w:r>
              <w:rPr>
                <w:rFonts w:eastAsia="仿宋_GB2312" w:cs="仿宋_GB2312"/>
                <w:sz w:val="21"/>
                <w:szCs w:val="21"/>
              </w:rPr>
              <w:t>不含有其他限制商品、要素自由流动的内容。</w:t>
            </w:r>
          </w:p>
        </w:tc>
        <w:tc>
          <w:tcPr>
            <w:tcW w:w="302" w:type="pct"/>
            <w:vAlign w:val="center"/>
          </w:tcPr>
          <w:p w14:paraId="284B4EE9"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2F8E38C3"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7D6760FD" w14:textId="77777777" w:rsidTr="00BD7731">
        <w:trPr>
          <w:trHeight w:hRule="exact" w:val="352"/>
          <w:jc w:val="center"/>
        </w:trPr>
        <w:tc>
          <w:tcPr>
            <w:tcW w:w="5000" w:type="pct"/>
            <w:gridSpan w:val="6"/>
            <w:vAlign w:val="center"/>
          </w:tcPr>
          <w:p w14:paraId="2A474DB4" w14:textId="77777777" w:rsidR="00B36616" w:rsidRDefault="00BD7731">
            <w:pPr>
              <w:topLinePunct w:val="0"/>
              <w:rPr>
                <w:rFonts w:eastAsia="黑体" w:cs="黑体" w:hint="default"/>
                <w:sz w:val="21"/>
                <w:szCs w:val="21"/>
              </w:rPr>
            </w:pPr>
            <w:r>
              <w:rPr>
                <w:rFonts w:eastAsia="黑体" w:cs="黑体"/>
                <w:sz w:val="21"/>
                <w:szCs w:val="21"/>
              </w:rPr>
              <w:t>三、是否影响经营者生产经营成本</w:t>
            </w:r>
          </w:p>
        </w:tc>
      </w:tr>
      <w:tr w:rsidR="00B36616" w14:paraId="45282FE6" w14:textId="77777777" w:rsidTr="00BD7731">
        <w:trPr>
          <w:trHeight w:hRule="exact" w:val="352"/>
          <w:jc w:val="center"/>
        </w:trPr>
        <w:tc>
          <w:tcPr>
            <w:tcW w:w="3697" w:type="pct"/>
            <w:gridSpan w:val="4"/>
            <w:vAlign w:val="center"/>
          </w:tcPr>
          <w:p w14:paraId="452216CF" w14:textId="77777777" w:rsidR="00B36616" w:rsidRDefault="00BD7731">
            <w:pPr>
              <w:topLinePunct w:val="0"/>
              <w:rPr>
                <w:rFonts w:eastAsia="仿宋_GB2312" w:cs="仿宋_GB2312" w:hint="default"/>
                <w:sz w:val="21"/>
                <w:szCs w:val="21"/>
              </w:rPr>
            </w:pPr>
            <w:r>
              <w:rPr>
                <w:rFonts w:eastAsia="仿宋_GB2312" w:cs="仿宋_GB2312"/>
                <w:sz w:val="21"/>
                <w:szCs w:val="21"/>
              </w:rPr>
              <w:t>8.</w:t>
            </w:r>
            <w:r>
              <w:rPr>
                <w:rFonts w:eastAsia="仿宋_GB2312" w:cs="仿宋_GB2312"/>
                <w:sz w:val="21"/>
                <w:szCs w:val="21"/>
              </w:rPr>
              <w:t>不含有给予特定经营者选择性、差异化的财政奖励或者补贴的内容。</w:t>
            </w:r>
          </w:p>
        </w:tc>
        <w:tc>
          <w:tcPr>
            <w:tcW w:w="302" w:type="pct"/>
            <w:vAlign w:val="center"/>
          </w:tcPr>
          <w:p w14:paraId="59D6844E"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1697FD39"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06CA2DCB" w14:textId="77777777" w:rsidTr="00BD7731">
        <w:trPr>
          <w:trHeight w:hRule="exact" w:val="352"/>
          <w:jc w:val="center"/>
        </w:trPr>
        <w:tc>
          <w:tcPr>
            <w:tcW w:w="3697" w:type="pct"/>
            <w:gridSpan w:val="4"/>
            <w:vAlign w:val="center"/>
          </w:tcPr>
          <w:p w14:paraId="45682112" w14:textId="77777777" w:rsidR="00B36616" w:rsidRDefault="00BD7731">
            <w:pPr>
              <w:topLinePunct w:val="0"/>
              <w:rPr>
                <w:rFonts w:eastAsia="仿宋_GB2312" w:cs="仿宋_GB2312" w:hint="default"/>
                <w:sz w:val="21"/>
                <w:szCs w:val="21"/>
              </w:rPr>
            </w:pPr>
            <w:r>
              <w:rPr>
                <w:rFonts w:eastAsia="仿宋_GB2312" w:cs="仿宋_GB2312"/>
                <w:sz w:val="21"/>
                <w:szCs w:val="21"/>
              </w:rPr>
              <w:t>9.</w:t>
            </w:r>
            <w:r>
              <w:rPr>
                <w:rFonts w:eastAsia="仿宋_GB2312" w:cs="仿宋_GB2312"/>
                <w:sz w:val="21"/>
                <w:szCs w:val="21"/>
              </w:rPr>
              <w:t>不含有其他影响生产经营成本的内容。</w:t>
            </w:r>
          </w:p>
        </w:tc>
        <w:tc>
          <w:tcPr>
            <w:tcW w:w="302" w:type="pct"/>
            <w:vAlign w:val="center"/>
          </w:tcPr>
          <w:p w14:paraId="5B2FA595"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53F6E18F"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501FF892" w14:textId="77777777" w:rsidTr="00BD7731">
        <w:trPr>
          <w:trHeight w:hRule="exact" w:val="352"/>
          <w:jc w:val="center"/>
        </w:trPr>
        <w:tc>
          <w:tcPr>
            <w:tcW w:w="5000" w:type="pct"/>
            <w:gridSpan w:val="6"/>
            <w:vAlign w:val="center"/>
          </w:tcPr>
          <w:p w14:paraId="2C070AE1" w14:textId="77777777" w:rsidR="00B36616" w:rsidRDefault="00BD7731">
            <w:pPr>
              <w:topLinePunct w:val="0"/>
              <w:rPr>
                <w:rFonts w:eastAsia="黑体" w:cs="黑体" w:hint="default"/>
                <w:sz w:val="21"/>
                <w:szCs w:val="21"/>
              </w:rPr>
            </w:pPr>
            <w:r>
              <w:rPr>
                <w:rFonts w:eastAsia="黑体" w:cs="黑体"/>
                <w:sz w:val="21"/>
                <w:szCs w:val="21"/>
              </w:rPr>
              <w:t>四、是否影响经营者生产经营行为</w:t>
            </w:r>
          </w:p>
        </w:tc>
      </w:tr>
      <w:tr w:rsidR="00B36616" w14:paraId="55F2D40D" w14:textId="77777777" w:rsidTr="00BD7731">
        <w:trPr>
          <w:trHeight w:hRule="exact" w:val="352"/>
          <w:jc w:val="center"/>
        </w:trPr>
        <w:tc>
          <w:tcPr>
            <w:tcW w:w="3697" w:type="pct"/>
            <w:gridSpan w:val="4"/>
            <w:vAlign w:val="center"/>
          </w:tcPr>
          <w:p w14:paraId="24798857" w14:textId="77777777" w:rsidR="00B36616" w:rsidRDefault="00BD7731">
            <w:pPr>
              <w:topLinePunct w:val="0"/>
              <w:rPr>
                <w:rFonts w:eastAsia="仿宋_GB2312" w:cs="仿宋_GB2312" w:hint="default"/>
                <w:sz w:val="21"/>
                <w:szCs w:val="21"/>
              </w:rPr>
            </w:pPr>
            <w:r>
              <w:rPr>
                <w:rFonts w:eastAsia="仿宋_GB2312" w:cs="仿宋_GB2312"/>
                <w:sz w:val="21"/>
                <w:szCs w:val="21"/>
              </w:rPr>
              <w:t>10.</w:t>
            </w:r>
            <w:r>
              <w:rPr>
                <w:rFonts w:eastAsia="仿宋_GB2312" w:cs="仿宋_GB2312"/>
                <w:sz w:val="21"/>
                <w:szCs w:val="21"/>
              </w:rPr>
              <w:t>不含有强制或者变相强制经营者实施垄断行为，或者为经营者实施垄断行为提供便利条件的内容。</w:t>
            </w:r>
          </w:p>
        </w:tc>
        <w:tc>
          <w:tcPr>
            <w:tcW w:w="302" w:type="pct"/>
            <w:vAlign w:val="center"/>
          </w:tcPr>
          <w:p w14:paraId="1B7376E9"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757A3B87"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60874BA0" w14:textId="77777777" w:rsidTr="00BD7731">
        <w:trPr>
          <w:trHeight w:hRule="exact" w:val="352"/>
          <w:jc w:val="center"/>
        </w:trPr>
        <w:tc>
          <w:tcPr>
            <w:tcW w:w="3697" w:type="pct"/>
            <w:gridSpan w:val="4"/>
            <w:vAlign w:val="center"/>
          </w:tcPr>
          <w:p w14:paraId="5199D52B" w14:textId="77777777" w:rsidR="00B36616" w:rsidRDefault="00BD7731">
            <w:pPr>
              <w:topLinePunct w:val="0"/>
              <w:rPr>
                <w:rFonts w:eastAsia="仿宋_GB2312" w:cs="仿宋_GB2312" w:hint="default"/>
                <w:sz w:val="21"/>
                <w:szCs w:val="21"/>
              </w:rPr>
            </w:pPr>
            <w:r>
              <w:rPr>
                <w:rFonts w:eastAsia="仿宋_GB2312" w:cs="仿宋_GB2312"/>
                <w:sz w:val="21"/>
                <w:szCs w:val="21"/>
              </w:rPr>
              <w:t>11.</w:t>
            </w:r>
            <w:r>
              <w:rPr>
                <w:rFonts w:eastAsia="仿宋_GB2312" w:cs="仿宋_GB2312"/>
                <w:sz w:val="21"/>
                <w:szCs w:val="21"/>
              </w:rPr>
              <w:t>不含有其他影响生产经营行为的内容。</w:t>
            </w:r>
          </w:p>
        </w:tc>
        <w:tc>
          <w:tcPr>
            <w:tcW w:w="302" w:type="pct"/>
            <w:vAlign w:val="center"/>
          </w:tcPr>
          <w:p w14:paraId="01D3C7C6"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vAlign w:val="center"/>
          </w:tcPr>
          <w:p w14:paraId="7DE3B2DE"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r w:rsidR="00B36616" w14:paraId="08B8AB2D" w14:textId="77777777" w:rsidTr="00BD7731">
        <w:trPr>
          <w:trHeight w:hRule="exact" w:val="352"/>
          <w:jc w:val="center"/>
        </w:trPr>
        <w:tc>
          <w:tcPr>
            <w:tcW w:w="3697" w:type="pct"/>
            <w:gridSpan w:val="4"/>
            <w:vAlign w:val="center"/>
          </w:tcPr>
          <w:p w14:paraId="0B8A48E3" w14:textId="77777777" w:rsidR="00B36616" w:rsidRDefault="00BD7731">
            <w:pPr>
              <w:topLinePunct w:val="0"/>
              <w:jc w:val="left"/>
              <w:rPr>
                <w:rFonts w:eastAsia="仿宋_GB2312" w:cs="仿宋_GB2312" w:hint="default"/>
                <w:sz w:val="21"/>
                <w:szCs w:val="21"/>
              </w:rPr>
            </w:pPr>
            <w:r>
              <w:rPr>
                <w:rFonts w:eastAsia="黑体" w:cs="黑体"/>
                <w:sz w:val="21"/>
                <w:szCs w:val="21"/>
              </w:rPr>
              <w:t>五、不适用《公平竞争审查条例》第十二条的规定。</w:t>
            </w:r>
          </w:p>
        </w:tc>
        <w:tc>
          <w:tcPr>
            <w:tcW w:w="302" w:type="pct"/>
            <w:shd w:val="clear" w:color="auto" w:fill="auto"/>
            <w:vAlign w:val="center"/>
          </w:tcPr>
          <w:p w14:paraId="7CF518DF" w14:textId="77777777" w:rsidR="00B36616" w:rsidRDefault="00BD7731">
            <w:pPr>
              <w:topLinePunct w:val="0"/>
              <w:jc w:val="center"/>
              <w:rPr>
                <w:rFonts w:eastAsia="仿宋_GB2312" w:cs="仿宋_GB2312" w:hint="default"/>
                <w:sz w:val="21"/>
                <w:szCs w:val="21"/>
              </w:rPr>
            </w:pPr>
            <w:r>
              <w:rPr>
                <w:rFonts w:eastAsia="仿宋_GB2312" w:cs="仿宋_GB2312"/>
                <w:sz w:val="21"/>
                <w:szCs w:val="21"/>
              </w:rPr>
              <w:t>是</w:t>
            </w:r>
            <w:r>
              <w:rPr>
                <w:rFonts w:eastAsia="仿宋_GB2312" w:cs="仿宋_GB2312"/>
                <w:sz w:val="21"/>
                <w:szCs w:val="21"/>
              </w:rPr>
              <w:sym w:font="Wingdings 2" w:char="00A3"/>
            </w:r>
          </w:p>
        </w:tc>
        <w:tc>
          <w:tcPr>
            <w:tcW w:w="1001" w:type="pct"/>
            <w:shd w:val="clear" w:color="auto" w:fill="auto"/>
            <w:vAlign w:val="center"/>
          </w:tcPr>
          <w:p w14:paraId="27BB7E26" w14:textId="77777777" w:rsidR="00B36616" w:rsidRDefault="00BD7731">
            <w:pPr>
              <w:topLinePunct w:val="0"/>
              <w:rPr>
                <w:rFonts w:eastAsia="仿宋_GB2312" w:cs="仿宋_GB2312" w:hint="default"/>
                <w:sz w:val="21"/>
                <w:szCs w:val="21"/>
              </w:rPr>
            </w:pPr>
            <w:r>
              <w:rPr>
                <w:rFonts w:eastAsia="仿宋_GB2312" w:cs="仿宋_GB2312"/>
                <w:sz w:val="21"/>
                <w:szCs w:val="21"/>
              </w:rPr>
              <w:sym w:font="Wingdings 2" w:char="00A3"/>
            </w:r>
            <w:r>
              <w:rPr>
                <w:rFonts w:eastAsia="仿宋_GB2312" w:cs="仿宋_GB2312"/>
                <w:sz w:val="21"/>
                <w:szCs w:val="21"/>
              </w:rPr>
              <w:t>否，具体内容是：</w:t>
            </w:r>
            <w:r>
              <w:rPr>
                <w:rFonts w:eastAsia="仿宋_GB2312" w:cs="仿宋_GB2312"/>
                <w:sz w:val="21"/>
                <w:szCs w:val="21"/>
                <w:u w:val="single"/>
              </w:rPr>
              <w:t xml:space="preserve">      </w:t>
            </w:r>
            <w:r>
              <w:rPr>
                <w:rFonts w:eastAsia="仿宋_GB2312" w:cs="仿宋_GB2312"/>
                <w:sz w:val="21"/>
                <w:szCs w:val="21"/>
              </w:rPr>
              <w:t xml:space="preserve"> </w:t>
            </w:r>
          </w:p>
        </w:tc>
      </w:tr>
    </w:tbl>
    <w:p w14:paraId="376AB71E" w14:textId="77777777" w:rsidR="00B36616" w:rsidRDefault="00BD7731">
      <w:pPr>
        <w:ind w:left="420" w:hangingChars="200" w:hanging="420"/>
        <w:rPr>
          <w:rFonts w:hint="default"/>
          <w:sz w:val="21"/>
          <w:szCs w:val="21"/>
        </w:rPr>
      </w:pPr>
      <w:r>
        <w:rPr>
          <w:sz w:val="21"/>
          <w:szCs w:val="21"/>
        </w:rPr>
        <w:t>注：《公平竞争审查条例》第十二条的内容为：</w:t>
      </w:r>
    </w:p>
    <w:p w14:paraId="195E512B" w14:textId="77777777" w:rsidR="00B36616" w:rsidRDefault="00BD7731">
      <w:pPr>
        <w:ind w:leftChars="130" w:left="416"/>
        <w:rPr>
          <w:rFonts w:hint="default"/>
          <w:sz w:val="21"/>
          <w:szCs w:val="21"/>
        </w:rPr>
      </w:pPr>
      <w:r>
        <w:rPr>
          <w:sz w:val="21"/>
          <w:szCs w:val="21"/>
        </w:rPr>
        <w:t>“</w:t>
      </w:r>
      <w:r>
        <w:rPr>
          <w:b/>
          <w:bCs/>
          <w:sz w:val="21"/>
          <w:szCs w:val="21"/>
        </w:rPr>
        <w:t>第十二条</w:t>
      </w:r>
      <w:r>
        <w:rPr>
          <w:sz w:val="21"/>
          <w:szCs w:val="21"/>
        </w:rPr>
        <w:t xml:space="preserve">　起草单位起草的政策措施，具有或者可能具有排除、限制竞争效果，但符合下列情形之一，且没有对公平竞争影响更小的替代方案，并</w:t>
      </w:r>
      <w:r>
        <w:rPr>
          <w:sz w:val="21"/>
          <w:szCs w:val="21"/>
        </w:rPr>
        <w:lastRenderedPageBreak/>
        <w:t>能够确定合理的实施期限或者终止条件的，可以出台：</w:t>
      </w:r>
    </w:p>
    <w:p w14:paraId="4FF047F4" w14:textId="77777777" w:rsidR="00B36616" w:rsidRDefault="00BD7731">
      <w:pPr>
        <w:ind w:firstLineChars="200" w:firstLine="420"/>
        <w:rPr>
          <w:rFonts w:hint="default"/>
          <w:sz w:val="21"/>
          <w:szCs w:val="21"/>
        </w:rPr>
      </w:pPr>
      <w:r>
        <w:rPr>
          <w:sz w:val="21"/>
          <w:szCs w:val="21"/>
        </w:rPr>
        <w:t>（一）为维护国家安全和发展利益的；</w:t>
      </w:r>
    </w:p>
    <w:p w14:paraId="45A4AA03" w14:textId="77777777" w:rsidR="00B36616" w:rsidRDefault="00BD7731">
      <w:pPr>
        <w:ind w:firstLineChars="200" w:firstLine="420"/>
        <w:rPr>
          <w:rFonts w:hint="default"/>
          <w:sz w:val="21"/>
          <w:szCs w:val="21"/>
        </w:rPr>
      </w:pPr>
      <w:r>
        <w:rPr>
          <w:sz w:val="21"/>
          <w:szCs w:val="21"/>
        </w:rPr>
        <w:t>（二）为促进科学技术进步、增强国家自主创新能力的；</w:t>
      </w:r>
    </w:p>
    <w:p w14:paraId="47471F2A" w14:textId="77777777" w:rsidR="00B36616" w:rsidRDefault="00BD7731">
      <w:pPr>
        <w:ind w:firstLineChars="200" w:firstLine="420"/>
        <w:rPr>
          <w:rFonts w:hint="default"/>
          <w:sz w:val="21"/>
          <w:szCs w:val="21"/>
        </w:rPr>
      </w:pPr>
      <w:r>
        <w:rPr>
          <w:sz w:val="21"/>
          <w:szCs w:val="21"/>
        </w:rPr>
        <w:t>（三）为实现节约能源、保护环境、救灾救助等社会公共利益的；</w:t>
      </w:r>
    </w:p>
    <w:p w14:paraId="4AD5B8A7" w14:textId="77777777" w:rsidR="00B36616" w:rsidRDefault="00BD7731">
      <w:pPr>
        <w:ind w:firstLineChars="200" w:firstLine="420"/>
        <w:rPr>
          <w:rFonts w:hint="default"/>
          <w:sz w:val="21"/>
          <w:szCs w:val="21"/>
        </w:rPr>
      </w:pPr>
      <w:r>
        <w:rPr>
          <w:sz w:val="21"/>
          <w:szCs w:val="21"/>
        </w:rPr>
        <w:t>（四）法律、行政法规规定的其他情形。”</w:t>
      </w:r>
    </w:p>
    <w:p w14:paraId="272E52A9" w14:textId="77777777" w:rsidR="00B36616" w:rsidRDefault="00B36616">
      <w:pPr>
        <w:rPr>
          <w:rFonts w:hint="default"/>
        </w:rPr>
      </w:pPr>
    </w:p>
    <w:p w14:paraId="3CC79FA6" w14:textId="77777777" w:rsidR="00B36616" w:rsidRDefault="00B36616">
      <w:pPr>
        <w:rPr>
          <w:rFonts w:hint="default"/>
        </w:rPr>
      </w:pPr>
    </w:p>
    <w:p w14:paraId="4C972B52" w14:textId="77777777" w:rsidR="00B36616" w:rsidRDefault="00B36616">
      <w:pPr>
        <w:rPr>
          <w:rFonts w:hint="default"/>
        </w:rPr>
      </w:pPr>
    </w:p>
    <w:sectPr w:rsidR="00B36616">
      <w:pgSz w:w="16838" w:h="11906" w:orient="landscape"/>
      <w:pgMar w:top="840" w:right="1440" w:bottom="1049"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2EEEB" w14:textId="77777777" w:rsidR="001973AB" w:rsidRDefault="001973AB" w:rsidP="004D49D3">
      <w:pPr>
        <w:rPr>
          <w:rFonts w:hint="default"/>
        </w:rPr>
      </w:pPr>
      <w:r>
        <w:separator/>
      </w:r>
    </w:p>
  </w:endnote>
  <w:endnote w:type="continuationSeparator" w:id="0">
    <w:p w14:paraId="6F5491C6" w14:textId="77777777" w:rsidR="001973AB" w:rsidRDefault="001973AB" w:rsidP="004D49D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charset w:val="86"/>
    <w:family w:val="auto"/>
    <w:pitch w:val="default"/>
    <w:sig w:usb0="A00002BF" w:usb1="38CF7CFA" w:usb2="00082016" w:usb3="00000000" w:csb0="00040001" w:csb1="00000000"/>
    <w:embedRegular r:id="rId1" w:fontKey="{1215D5FC-32DA-4632-AD6A-A082DAABA668}"/>
    <w:embedBold r:id="rId2" w:fontKey="{8F0680AF-8FD1-408A-BC75-65748E291952}"/>
  </w:font>
  <w:font w:name="方正小标宋简体">
    <w:charset w:val="86"/>
    <w:family w:val="auto"/>
    <w:pitch w:val="default"/>
    <w:sig w:usb0="A00002BF" w:usb1="184F6CFA" w:usb2="00000012" w:usb3="00000000" w:csb0="00040001" w:csb1="00000000"/>
    <w:embedRegular r:id="rId3" w:subsetted="1" w:fontKey="{6E9B6A20-A267-4E09-84A6-723B7C541046}"/>
  </w:font>
  <w:font w:name="黑体">
    <w:altName w:val="SimHei"/>
    <w:panose1 w:val="02010609060101010101"/>
    <w:charset w:val="86"/>
    <w:family w:val="modern"/>
    <w:pitch w:val="fixed"/>
    <w:sig w:usb0="800002BF" w:usb1="38CF7CFA" w:usb2="00000016" w:usb3="00000000" w:csb0="00040001" w:csb1="00000000"/>
    <w:embedRegular r:id="rId4" w:subsetted="1" w:fontKey="{CD941540-6F4A-46F1-AB5D-80B53CDDCE1F}"/>
  </w:font>
  <w:font w:name="仿宋_GB2312">
    <w:panose1 w:val="02010609030101010101"/>
    <w:charset w:val="86"/>
    <w:family w:val="modern"/>
    <w:pitch w:val="fixed"/>
    <w:sig w:usb0="00000001" w:usb1="080E0000" w:usb2="00000010" w:usb3="00000000" w:csb0="00040000" w:csb1="00000000"/>
    <w:embedRegular r:id="rId5" w:subsetted="1" w:fontKey="{2EE38950-68E0-4338-9C53-05927157E980}"/>
  </w:font>
  <w:font w:name="Wingdings 2">
    <w:panose1 w:val="05020102010507070707"/>
    <w:charset w:val="02"/>
    <w:family w:val="roman"/>
    <w:pitch w:val="variable"/>
    <w:sig w:usb0="00000000" w:usb1="10000000" w:usb2="00000000" w:usb3="00000000" w:csb0="80000000" w:csb1="00000000"/>
    <w:embedRegular r:id="rId6" w:fontKey="{D957181F-BBF8-488D-9C41-1BED7C1FA7CF}"/>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09B67" w14:textId="77777777" w:rsidR="001973AB" w:rsidRDefault="001973AB" w:rsidP="004D49D3">
      <w:pPr>
        <w:rPr>
          <w:rFonts w:hint="default"/>
        </w:rPr>
      </w:pPr>
      <w:r>
        <w:separator/>
      </w:r>
    </w:p>
  </w:footnote>
  <w:footnote w:type="continuationSeparator" w:id="0">
    <w:p w14:paraId="3CD9247C" w14:textId="77777777" w:rsidR="001973AB" w:rsidRDefault="001973AB" w:rsidP="004D49D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12FF5"/>
    <w:rsid w:val="001973AB"/>
    <w:rsid w:val="004D49D3"/>
    <w:rsid w:val="00B36616"/>
    <w:rsid w:val="00BD7731"/>
    <w:rsid w:val="02E9598D"/>
    <w:rsid w:val="03B114AD"/>
    <w:rsid w:val="091F7B45"/>
    <w:rsid w:val="11FD5C45"/>
    <w:rsid w:val="1A112FF5"/>
    <w:rsid w:val="4C9260E2"/>
    <w:rsid w:val="51CF7E46"/>
    <w:rsid w:val="57BE7A0C"/>
    <w:rsid w:val="65C02D88"/>
    <w:rsid w:val="6BC01249"/>
    <w:rsid w:val="70B70064"/>
    <w:rsid w:val="7835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270C2B-3A9B-4B9E-96D5-827EC6A5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topLinePunct/>
      <w:adjustRightInd w:val="0"/>
      <w:jc w:val="both"/>
    </w:pPr>
    <w:rPr>
      <w:rFonts w:ascii="Times New Roman" w:eastAsia="方正仿宋_GBK" w:hAnsi="Times New Roman" w:cs="Times New Roman" w:hint="eastAsia"/>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4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49D3"/>
    <w:rPr>
      <w:rFonts w:ascii="Times New Roman" w:eastAsia="方正仿宋_GBK" w:hAnsi="Times New Roman" w:cs="Times New Roman"/>
      <w:kern w:val="2"/>
      <w:sz w:val="18"/>
      <w:szCs w:val="18"/>
    </w:rPr>
  </w:style>
  <w:style w:type="paragraph" w:styleId="a4">
    <w:name w:val="footer"/>
    <w:basedOn w:val="a"/>
    <w:link w:val="Char0"/>
    <w:rsid w:val="004D49D3"/>
    <w:pPr>
      <w:tabs>
        <w:tab w:val="center" w:pos="4153"/>
        <w:tab w:val="right" w:pos="8306"/>
      </w:tabs>
      <w:snapToGrid w:val="0"/>
      <w:jc w:val="left"/>
    </w:pPr>
    <w:rPr>
      <w:sz w:val="18"/>
      <w:szCs w:val="18"/>
    </w:rPr>
  </w:style>
  <w:style w:type="character" w:customStyle="1" w:styleId="Char0">
    <w:name w:val="页脚 Char"/>
    <w:basedOn w:val="a0"/>
    <w:link w:val="a4"/>
    <w:rsid w:val="004D49D3"/>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科标中心</dc:creator>
  <cp:lastModifiedBy>Microsoft 帐户</cp:lastModifiedBy>
  <cp:revision>3</cp:revision>
  <dcterms:created xsi:type="dcterms:W3CDTF">2025-07-16T01:04:00Z</dcterms:created>
  <dcterms:modified xsi:type="dcterms:W3CDTF">2025-07-31T03:53:00Z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EFA59034261E45E6A32D76302CA82C32_13</vt:lpwstr>
  </property>
  <property fmtid="{D5CDD505-2E9C-101B-9397-08002B2CF9AE}" pid="4" name="KSOTemplateDocerSaveRecord">
    <vt:lpwstr>eyJoZGlkIjoiODQ1ZGU2ZTNjMWJiYWEyYzhiMTBmM2RiY2YwMGVhZDEiLCJ1c2VySWQiOiI3MTQ1Nzc5NTEifQ==</vt:lpwstr>
  </property>
</Properties>
</file>