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14" w:rsidRPr="00CF4A14" w:rsidRDefault="00CF4A14" w:rsidP="00CF4A14">
      <w:pPr>
        <w:spacing w:line="20" w:lineRule="atLeast"/>
        <w:rPr>
          <w:rFonts w:ascii="仿宋_GB2312" w:eastAsia="仿宋_GB2312" w:hAnsi="宋体"/>
          <w:color w:val="auto"/>
          <w:kern w:val="2"/>
          <w:sz w:val="28"/>
          <w:szCs w:val="28"/>
          <w:lang w:val="en-US" w:bidi="ar-SA"/>
        </w:rPr>
      </w:pPr>
      <w:r>
        <w:rPr>
          <w:rFonts w:ascii="仿宋_GB2312" w:eastAsia="仿宋_GB2312" w:hAnsi="宋体"/>
          <w:color w:val="auto"/>
          <w:kern w:val="2"/>
          <w:sz w:val="28"/>
          <w:szCs w:val="28"/>
          <w:lang w:val="en-US" w:bidi="ar-SA"/>
        </w:rPr>
        <w:t>附件</w:t>
      </w:r>
      <w:r>
        <w:rPr>
          <w:rFonts w:ascii="仿宋_GB2312" w:eastAsia="仿宋_GB2312" w:hAnsi="宋体" w:hint="eastAsia"/>
          <w:color w:val="auto"/>
          <w:kern w:val="2"/>
          <w:sz w:val="28"/>
          <w:szCs w:val="28"/>
          <w:lang w:val="en-US" w:bidi="ar-SA"/>
        </w:rPr>
        <w:t>2：</w:t>
      </w:r>
    </w:p>
    <w:tbl>
      <w:tblPr>
        <w:tblStyle w:val="a6"/>
        <w:tblW w:w="0" w:type="auto"/>
        <w:tblLook w:val="04A0" w:firstRow="1" w:lastRow="0" w:firstColumn="1" w:lastColumn="0" w:noHBand="0" w:noVBand="1"/>
      </w:tblPr>
      <w:tblGrid>
        <w:gridCol w:w="779"/>
        <w:gridCol w:w="1930"/>
        <w:gridCol w:w="2490"/>
        <w:gridCol w:w="7409"/>
        <w:gridCol w:w="1323"/>
        <w:gridCol w:w="1590"/>
      </w:tblGrid>
      <w:tr w:rsidR="00FF0DC9" w:rsidRPr="00FF0DC9" w:rsidTr="006C76C1">
        <w:trPr>
          <w:trHeight w:val="418"/>
        </w:trPr>
        <w:tc>
          <w:tcPr>
            <w:tcW w:w="15521" w:type="dxa"/>
            <w:gridSpan w:val="6"/>
            <w:tcBorders>
              <w:top w:val="nil"/>
              <w:left w:val="nil"/>
              <w:right w:val="nil"/>
            </w:tcBorders>
            <w:noWrap/>
            <w:hideMark/>
          </w:tcPr>
          <w:p w:rsidR="00FF0DC9" w:rsidRPr="00FF0DC9" w:rsidRDefault="00FF0DC9" w:rsidP="00FF0DC9">
            <w:pPr>
              <w:jc w:val="center"/>
              <w:rPr>
                <w:rFonts w:ascii="Calibri" w:eastAsia="宋体" w:hAnsi="Calibri"/>
                <w:b/>
                <w:bCs/>
                <w:color w:val="auto"/>
                <w:kern w:val="2"/>
                <w:sz w:val="28"/>
                <w:szCs w:val="28"/>
                <w:lang w:val="en-US"/>
              </w:rPr>
            </w:pPr>
            <w:r w:rsidRPr="00FF0DC9">
              <w:rPr>
                <w:rFonts w:ascii="Calibri" w:eastAsia="宋体" w:hAnsi="Calibri" w:hint="eastAsia"/>
                <w:b/>
                <w:bCs/>
                <w:color w:val="auto"/>
                <w:kern w:val="2"/>
                <w:sz w:val="28"/>
                <w:szCs w:val="28"/>
                <w:lang w:val="en-US"/>
              </w:rPr>
              <w:t>新增和修订的免于进行临床试验医疗器械目录（征求意见稿）</w:t>
            </w:r>
          </w:p>
        </w:tc>
      </w:tr>
      <w:tr w:rsidR="006C76C1" w:rsidRPr="009C262D" w:rsidTr="006C76C1">
        <w:trPr>
          <w:trHeight w:val="360"/>
        </w:trPr>
        <w:tc>
          <w:tcPr>
            <w:tcW w:w="779" w:type="dxa"/>
            <w:vAlign w:val="center"/>
            <w:hideMark/>
          </w:tcPr>
          <w:p w:rsidR="00FF0DC9" w:rsidRPr="009C262D" w:rsidRDefault="00FF0DC9" w:rsidP="00E379ED">
            <w:pPr>
              <w:jc w:val="center"/>
              <w:rPr>
                <w:rFonts w:asciiTheme="minorEastAsia" w:eastAsiaTheme="minorEastAsia" w:hAnsiTheme="minorEastAsia"/>
                <w:bCs/>
                <w:color w:val="auto"/>
                <w:kern w:val="2"/>
                <w:lang w:val="en-US"/>
              </w:rPr>
            </w:pPr>
            <w:bookmarkStart w:id="0" w:name="RANGE!A2:D7"/>
            <w:r w:rsidRPr="009C262D">
              <w:rPr>
                <w:rFonts w:asciiTheme="minorEastAsia" w:eastAsiaTheme="minorEastAsia" w:hAnsiTheme="minorEastAsia" w:hint="eastAsia"/>
                <w:bCs/>
                <w:color w:val="auto"/>
                <w:kern w:val="2"/>
                <w:lang w:val="en-US"/>
              </w:rPr>
              <w:t>序号</w:t>
            </w:r>
            <w:bookmarkEnd w:id="0"/>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分类编码</w:t>
            </w:r>
          </w:p>
        </w:tc>
        <w:tc>
          <w:tcPr>
            <w:tcW w:w="249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产品名称</w:t>
            </w:r>
          </w:p>
        </w:tc>
        <w:tc>
          <w:tcPr>
            <w:tcW w:w="7409"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产品描述</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管理类别</w:t>
            </w:r>
          </w:p>
        </w:tc>
        <w:tc>
          <w:tcPr>
            <w:tcW w:w="1589"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备注</w:t>
            </w:r>
          </w:p>
        </w:tc>
      </w:tr>
      <w:tr w:rsidR="006C76C1" w:rsidRPr="009C262D" w:rsidTr="006C76C1">
        <w:trPr>
          <w:trHeight w:val="698"/>
        </w:trPr>
        <w:tc>
          <w:tcPr>
            <w:tcW w:w="779" w:type="dxa"/>
            <w:noWrap/>
            <w:vAlign w:val="center"/>
            <w:hideMark/>
          </w:tcPr>
          <w:p w:rsidR="00FF0DC9" w:rsidRPr="009C262D" w:rsidRDefault="00FF0DC9" w:rsidP="009C262D">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w:t>
            </w:r>
          </w:p>
        </w:tc>
        <w:tc>
          <w:tcPr>
            <w:tcW w:w="1930" w:type="dxa"/>
            <w:vAlign w:val="center"/>
            <w:hideMark/>
          </w:tcPr>
          <w:p w:rsidR="00FF0DC9" w:rsidRPr="009C262D" w:rsidRDefault="00FF0DC9" w:rsidP="009C262D">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01-03-04</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射频等离子手术电极</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射频等离子手术电极是射频等离子手术主机的附件。通常由刀头、刀杆、手柄、电缆线、连接器组成。与射频等离子手术主机配合使用，用于外科手术的软组织切割、消融、凝血。产品性能指标采用下列参考标准中的适用部分，如：GB 9706.4医用电气设备 第2-2部分：高频手术设备安全专用要求。</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439"/>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2</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02-13-08</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免缝拉链</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通常由两拉链带和粘附于其背面靠外侧的胶带组成。用于替代传统缝线愈合伤口。无菌提供，一次性使用。用于体表各部位伤口的闭合。</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828"/>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3</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02-15-06</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一次性使用无菌吻合器保护器</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本产品由扩张头、固定环A、固定环B、回拉带组成，主要材质为TPE。</w:t>
            </w:r>
            <w:r w:rsidRPr="009C262D">
              <w:rPr>
                <w:rFonts w:asciiTheme="minorEastAsia" w:eastAsiaTheme="minorEastAsia" w:hAnsiTheme="minorEastAsia" w:hint="eastAsia"/>
                <w:bCs/>
                <w:color w:val="auto"/>
                <w:kern w:val="2"/>
                <w:lang w:val="en-US"/>
              </w:rPr>
              <w:br/>
              <w:t>本产品与管型消化道吻合</w:t>
            </w:r>
            <w:proofErr w:type="gramStart"/>
            <w:r w:rsidRPr="009C262D">
              <w:rPr>
                <w:rFonts w:asciiTheme="minorEastAsia" w:eastAsiaTheme="minorEastAsia" w:hAnsiTheme="minorEastAsia" w:hint="eastAsia"/>
                <w:bCs/>
                <w:color w:val="auto"/>
                <w:kern w:val="2"/>
                <w:lang w:val="en-US"/>
              </w:rPr>
              <w:t>器配合</w:t>
            </w:r>
            <w:proofErr w:type="gramEnd"/>
            <w:r w:rsidRPr="009C262D">
              <w:rPr>
                <w:rFonts w:asciiTheme="minorEastAsia" w:eastAsiaTheme="minorEastAsia" w:hAnsiTheme="minorEastAsia" w:hint="eastAsia"/>
                <w:bCs/>
                <w:color w:val="auto"/>
                <w:kern w:val="2"/>
                <w:lang w:val="en-US"/>
              </w:rPr>
              <w:t>使用，用于扩张括约肌，减轻吻合器器身对括约肌和粘膜褶皱的损伤。</w:t>
            </w:r>
            <w:r w:rsidRPr="009C262D">
              <w:rPr>
                <w:rFonts w:asciiTheme="minorEastAsia" w:eastAsiaTheme="minorEastAsia" w:hAnsiTheme="minorEastAsia" w:hint="eastAsia"/>
                <w:bCs/>
                <w:color w:val="auto"/>
                <w:kern w:val="2"/>
                <w:lang w:val="en-US"/>
              </w:rPr>
              <w:br/>
              <w:t>使用时，将保护器套在吻合器头部，随吻合</w:t>
            </w:r>
            <w:proofErr w:type="gramStart"/>
            <w:r w:rsidRPr="009C262D">
              <w:rPr>
                <w:rFonts w:asciiTheme="minorEastAsia" w:eastAsiaTheme="minorEastAsia" w:hAnsiTheme="minorEastAsia" w:hint="eastAsia"/>
                <w:bCs/>
                <w:color w:val="auto"/>
                <w:kern w:val="2"/>
                <w:lang w:val="en-US"/>
              </w:rPr>
              <w:t>器一起</w:t>
            </w:r>
            <w:proofErr w:type="gramEnd"/>
            <w:r w:rsidRPr="009C262D">
              <w:rPr>
                <w:rFonts w:asciiTheme="minorEastAsia" w:eastAsiaTheme="minorEastAsia" w:hAnsiTheme="minorEastAsia" w:hint="eastAsia"/>
                <w:bCs/>
                <w:color w:val="auto"/>
                <w:kern w:val="2"/>
                <w:lang w:val="en-US"/>
              </w:rPr>
              <w:t>经直肠进入消化道。到达手术部位后，可通过向后</w:t>
            </w:r>
            <w:proofErr w:type="gramStart"/>
            <w:r w:rsidRPr="009C262D">
              <w:rPr>
                <w:rFonts w:asciiTheme="minorEastAsia" w:eastAsiaTheme="minorEastAsia" w:hAnsiTheme="minorEastAsia" w:hint="eastAsia"/>
                <w:bCs/>
                <w:color w:val="auto"/>
                <w:kern w:val="2"/>
                <w:lang w:val="en-US"/>
              </w:rPr>
              <w:t>拉动回</w:t>
            </w:r>
            <w:proofErr w:type="gramEnd"/>
            <w:r w:rsidRPr="009C262D">
              <w:rPr>
                <w:rFonts w:asciiTheme="minorEastAsia" w:eastAsiaTheme="minorEastAsia" w:hAnsiTheme="minorEastAsia" w:hint="eastAsia"/>
                <w:bCs/>
                <w:color w:val="auto"/>
                <w:kern w:val="2"/>
                <w:lang w:val="en-US"/>
              </w:rPr>
              <w:t>拉带，使扩张头打开，顺着吻合器的主体后移，将本产品退出消化道。</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754"/>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4</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03-05-02</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心房止血器、心耳止血器、一次性使用无菌血管夹</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用于临时阻断血管或心血管组织。通常由夹子、弹簧和</w:t>
            </w:r>
            <w:proofErr w:type="gramStart"/>
            <w:r w:rsidRPr="009C262D">
              <w:rPr>
                <w:rFonts w:asciiTheme="minorEastAsia" w:eastAsiaTheme="minorEastAsia" w:hAnsiTheme="minorEastAsia" w:hint="eastAsia"/>
                <w:bCs/>
                <w:color w:val="auto"/>
                <w:kern w:val="2"/>
                <w:lang w:val="en-US"/>
              </w:rPr>
              <w:t>轴组成</w:t>
            </w:r>
            <w:proofErr w:type="gramEnd"/>
            <w:r w:rsidRPr="009C262D">
              <w:rPr>
                <w:rFonts w:asciiTheme="minorEastAsia" w:eastAsiaTheme="minorEastAsia" w:hAnsiTheme="minorEastAsia" w:hint="eastAsia"/>
                <w:bCs/>
                <w:color w:val="auto"/>
                <w:kern w:val="2"/>
                <w:lang w:val="en-US"/>
              </w:rPr>
              <w:t>或由一对尾部叠合的叶片组成。一般采用不锈钢材料制成。接触中枢神经系统或血液循环系统，或为无菌提供、一次性使用。</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259"/>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5</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03-11-01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打孔器</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通常由打孔头和</w:t>
            </w:r>
            <w:proofErr w:type="gramStart"/>
            <w:r w:rsidRPr="009C262D">
              <w:rPr>
                <w:rFonts w:asciiTheme="minorEastAsia" w:eastAsiaTheme="minorEastAsia" w:hAnsiTheme="minorEastAsia" w:hint="eastAsia"/>
                <w:bCs/>
                <w:color w:val="auto"/>
                <w:kern w:val="2"/>
                <w:lang w:val="en-US"/>
              </w:rPr>
              <w:t>柄部</w:t>
            </w:r>
            <w:proofErr w:type="gramEnd"/>
            <w:r w:rsidRPr="009C262D">
              <w:rPr>
                <w:rFonts w:asciiTheme="minorEastAsia" w:eastAsiaTheme="minorEastAsia" w:hAnsiTheme="minorEastAsia" w:hint="eastAsia"/>
                <w:bCs/>
                <w:color w:val="auto"/>
                <w:kern w:val="2"/>
                <w:lang w:val="en-US"/>
              </w:rPr>
              <w:t>组成。无菌提供。一次性使用。接触中枢神经系统或血液循环系统。用于介入手术中在组织上打孔，建立通路。</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519"/>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6</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03-12-01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冲吸器</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分类编码03-12-01下所有产品均免于进行临床试验。通常为中空直</w:t>
            </w:r>
            <w:proofErr w:type="gramStart"/>
            <w:r w:rsidRPr="009C262D">
              <w:rPr>
                <w:rFonts w:asciiTheme="minorEastAsia" w:eastAsiaTheme="minorEastAsia" w:hAnsiTheme="minorEastAsia" w:hint="eastAsia"/>
                <w:bCs/>
                <w:color w:val="auto"/>
                <w:kern w:val="2"/>
                <w:lang w:val="en-US"/>
              </w:rPr>
              <w:t>形或弯形</w:t>
            </w:r>
            <w:proofErr w:type="gramEnd"/>
            <w:r w:rsidRPr="009C262D">
              <w:rPr>
                <w:rFonts w:asciiTheme="minorEastAsia" w:eastAsiaTheme="minorEastAsia" w:hAnsiTheme="minorEastAsia" w:hint="eastAsia"/>
                <w:bCs/>
                <w:color w:val="auto"/>
                <w:kern w:val="2"/>
                <w:lang w:val="en-US"/>
              </w:rPr>
              <w:t>管，一般采用不锈钢材料制成。用于胸腔心血管手术或脑外科手术中冲洗、吸引、抽吸。</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389"/>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7</w:t>
            </w:r>
          </w:p>
        </w:tc>
        <w:tc>
          <w:tcPr>
            <w:tcW w:w="1930"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04-01-01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截骨用刀</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通常由刀片和手柄组成，远端有坚硬、锋利、单刃配置的切割刀片，手柄位于其近端。一般采用不锈钢材料制成。无菌提供。用于切除、截断骨。</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389"/>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8</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06-01-02</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泌尿X射线机</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通常由X射线发生装置、图像显示系统、专用泌尿床组成。X射线透视摄影设备。用于泌尿科、妇科、胃肠道等X射线透视和摄影，获得</w:t>
            </w:r>
            <w:r w:rsidRPr="009C262D">
              <w:rPr>
                <w:rFonts w:asciiTheme="minorEastAsia" w:eastAsiaTheme="minorEastAsia" w:hAnsiTheme="minorEastAsia" w:hint="eastAsia"/>
                <w:bCs/>
                <w:color w:val="auto"/>
                <w:kern w:val="2"/>
                <w:lang w:val="en-US"/>
              </w:rPr>
              <w:lastRenderedPageBreak/>
              <w:t>影像供临床诊断用。产品不包括数字化体层摄影功能。</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778"/>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9</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06-01-05</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透视摄影X射线机</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X射线发生装置、图像显示系统、患者支撑装置组成，有的配有专用胃肠床、压迫器、点片装置等，是用于辅助胃肠检查，兼有摄影和透视功能的X射线设备。使用时一般通过透视动态图像锁定感兴趣区，而后用较大剂量摄影得到该区域清晰的静态图像。用于常规、胃肠道透视摄影检查，且带有数字减影血管造影或泌尿摄影功能，获得影像供临床诊断用。产品不包括数字化体层摄影功能。</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836"/>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10</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06-01-06</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移动式C</w:t>
            </w:r>
            <w:proofErr w:type="gramStart"/>
            <w:r w:rsidRPr="009C262D">
              <w:rPr>
                <w:rFonts w:asciiTheme="minorEastAsia" w:eastAsiaTheme="minorEastAsia" w:hAnsiTheme="minorEastAsia" w:hint="eastAsia"/>
                <w:bCs/>
                <w:color w:val="auto"/>
                <w:kern w:val="2"/>
                <w:lang w:val="en-US"/>
              </w:rPr>
              <w:t>形臂</w:t>
            </w:r>
            <w:proofErr w:type="gramEnd"/>
            <w:r w:rsidRPr="009C262D">
              <w:rPr>
                <w:rFonts w:asciiTheme="minorEastAsia" w:eastAsiaTheme="minorEastAsia" w:hAnsiTheme="minorEastAsia" w:hint="eastAsia"/>
                <w:bCs/>
                <w:color w:val="auto"/>
                <w:kern w:val="2"/>
                <w:lang w:val="en-US"/>
              </w:rPr>
              <w:t>X射线机</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通常由移动式C</w:t>
            </w:r>
            <w:proofErr w:type="gramStart"/>
            <w:r w:rsidRPr="009C262D">
              <w:rPr>
                <w:rFonts w:asciiTheme="minorEastAsia" w:eastAsiaTheme="minorEastAsia" w:hAnsiTheme="minorEastAsia" w:hint="eastAsia"/>
                <w:bCs/>
                <w:color w:val="auto"/>
                <w:kern w:val="2"/>
                <w:lang w:val="en-US"/>
              </w:rPr>
              <w:t>形臂支架</w:t>
            </w:r>
            <w:proofErr w:type="gramEnd"/>
            <w:r w:rsidRPr="009C262D">
              <w:rPr>
                <w:rFonts w:asciiTheme="minorEastAsia" w:eastAsiaTheme="minorEastAsia" w:hAnsiTheme="minorEastAsia" w:hint="eastAsia"/>
                <w:bCs/>
                <w:color w:val="auto"/>
                <w:kern w:val="2"/>
                <w:lang w:val="en-US"/>
              </w:rPr>
              <w:t>、X射线发生装置、影像增强</w:t>
            </w:r>
            <w:proofErr w:type="gramStart"/>
            <w:r w:rsidRPr="009C262D">
              <w:rPr>
                <w:rFonts w:asciiTheme="minorEastAsia" w:eastAsiaTheme="minorEastAsia" w:hAnsiTheme="minorEastAsia" w:hint="eastAsia"/>
                <w:bCs/>
                <w:color w:val="auto"/>
                <w:kern w:val="2"/>
                <w:lang w:val="en-US"/>
              </w:rPr>
              <w:t>器电视</w:t>
            </w:r>
            <w:proofErr w:type="gramEnd"/>
            <w:r w:rsidRPr="009C262D">
              <w:rPr>
                <w:rFonts w:asciiTheme="minorEastAsia" w:eastAsiaTheme="minorEastAsia" w:hAnsiTheme="minorEastAsia" w:hint="eastAsia"/>
                <w:bCs/>
                <w:color w:val="auto"/>
                <w:kern w:val="2"/>
                <w:lang w:val="en-US"/>
              </w:rPr>
              <w:t>系统或数字平板探测器成像系统等组成。用于外科手术透视及摄影，且带有数字减影血管造影功能，获得影像供临床诊断用。产品不包括数字化体层摄影功能。</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1541"/>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11</w:t>
            </w:r>
          </w:p>
        </w:tc>
        <w:tc>
          <w:tcPr>
            <w:tcW w:w="1930"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06-05-14</w:t>
            </w:r>
          </w:p>
        </w:tc>
        <w:tc>
          <w:tcPr>
            <w:tcW w:w="2490" w:type="dxa"/>
            <w:noWrap/>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胃肠动力标记物胶囊</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由胶囊及内容标记物组成。胶囊一般由</w:t>
            </w:r>
            <w:proofErr w:type="gramStart"/>
            <w:r w:rsidRPr="009C262D">
              <w:rPr>
                <w:rFonts w:asciiTheme="minorEastAsia" w:eastAsiaTheme="minorEastAsia" w:hAnsiTheme="minorEastAsia" w:hint="eastAsia"/>
                <w:bCs/>
                <w:color w:val="auto"/>
                <w:kern w:val="2"/>
                <w:lang w:val="en-US"/>
              </w:rPr>
              <w:t>羟丙甲纤维素</w:t>
            </w:r>
            <w:proofErr w:type="gramEnd"/>
            <w:r w:rsidRPr="009C262D">
              <w:rPr>
                <w:rFonts w:asciiTheme="minorEastAsia" w:eastAsiaTheme="minorEastAsia" w:hAnsiTheme="minorEastAsia" w:hint="eastAsia"/>
                <w:bCs/>
                <w:color w:val="auto"/>
                <w:kern w:val="2"/>
                <w:lang w:val="en-US"/>
              </w:rPr>
              <w:t>制成，内容标记物一般由添加硫酸钡的聚氯乙烯材料制成。用于胃肠功能性紊乱进行诊断或疗效评估。产品与已获准境内注册产品具有等同性，新型结构设计、新型作用机理、药械组合产品除外。</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648"/>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12</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06-14-01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椎间孔镜</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硬性光学内窥镜，一般由光学成像系统和照明系统组成。光学成像系统由物镜、</w:t>
            </w:r>
            <w:proofErr w:type="gramStart"/>
            <w:r w:rsidRPr="009C262D">
              <w:rPr>
                <w:rFonts w:asciiTheme="minorEastAsia" w:eastAsiaTheme="minorEastAsia" w:hAnsiTheme="minorEastAsia" w:hint="eastAsia"/>
                <w:bCs/>
                <w:color w:val="auto"/>
                <w:kern w:val="2"/>
                <w:lang w:val="en-US"/>
              </w:rPr>
              <w:t>转像系统</w:t>
            </w:r>
            <w:proofErr w:type="gramEnd"/>
            <w:r w:rsidRPr="009C262D">
              <w:rPr>
                <w:rFonts w:asciiTheme="minorEastAsia" w:eastAsiaTheme="minorEastAsia" w:hAnsiTheme="minorEastAsia" w:hint="eastAsia"/>
                <w:bCs/>
                <w:color w:val="auto"/>
                <w:kern w:val="2"/>
                <w:lang w:val="en-US"/>
              </w:rPr>
              <w:t>、目镜三部分组成。照明系统一般为光学纤维。被观察物经物镜所成的倒像，</w:t>
            </w:r>
            <w:proofErr w:type="gramStart"/>
            <w:r w:rsidRPr="009C262D">
              <w:rPr>
                <w:rFonts w:asciiTheme="minorEastAsia" w:eastAsiaTheme="minorEastAsia" w:hAnsiTheme="minorEastAsia" w:hint="eastAsia"/>
                <w:bCs/>
                <w:color w:val="auto"/>
                <w:kern w:val="2"/>
                <w:lang w:val="en-US"/>
              </w:rPr>
              <w:t>通过转像系统</w:t>
            </w:r>
            <w:proofErr w:type="gramEnd"/>
            <w:r w:rsidRPr="009C262D">
              <w:rPr>
                <w:rFonts w:asciiTheme="minorEastAsia" w:eastAsiaTheme="minorEastAsia" w:hAnsiTheme="minorEastAsia" w:hint="eastAsia"/>
                <w:bCs/>
                <w:color w:val="auto"/>
                <w:kern w:val="2"/>
                <w:lang w:val="en-US"/>
              </w:rPr>
              <w:t>将倒像转为正像，并传输到目镜，再由目镜或摄像系统放大用于观察。</w:t>
            </w:r>
            <w:r w:rsidRPr="009C262D">
              <w:rPr>
                <w:rFonts w:asciiTheme="minorEastAsia" w:eastAsiaTheme="minorEastAsia" w:hAnsiTheme="minorEastAsia" w:hint="eastAsia"/>
                <w:bCs/>
                <w:color w:val="auto"/>
                <w:kern w:val="2"/>
                <w:lang w:val="en-US"/>
              </w:rPr>
              <w:br/>
              <w:t>用于脊柱部位的观察成像。</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439"/>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13</w:t>
            </w:r>
          </w:p>
        </w:tc>
        <w:tc>
          <w:tcPr>
            <w:tcW w:w="1930"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07-02-07</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呼气分析仪</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通常由主机、一氧化氮或一氧化碳等气体传感器、呼吸过滤装置等附件组成。用于检测呼吸气体中的一氧化氮或一氧化碳等的浓度。</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691"/>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14</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08-03-02</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婴儿培养箱</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主机、皮肤/空气温度传感器、氧浓度传感器、湿度传感器、罩子组成，具有可安放和观察婴儿的婴儿舱，该婴儿舱是由已加热空气来控制婴儿特定环境。主要用于为低体重婴儿、病危病弱婴儿、早产儿提供一个空气洁净，温湿度适宜的培养治疗环境，用于恒温培养、体温复苏、输液、输氧、抢救、住院观察等。转运培养箱还用于安全地转运婴儿。</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III</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497"/>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15</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08-03-03</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婴儿辐射</w:t>
            </w:r>
            <w:proofErr w:type="gramStart"/>
            <w:r w:rsidRPr="009C262D">
              <w:rPr>
                <w:rFonts w:asciiTheme="minorEastAsia" w:eastAsiaTheme="minorEastAsia" w:hAnsiTheme="minorEastAsia" w:hint="eastAsia"/>
                <w:bCs/>
                <w:color w:val="auto"/>
                <w:kern w:val="2"/>
                <w:lang w:val="en-US"/>
              </w:rPr>
              <w:t>保暖台</w:t>
            </w:r>
            <w:proofErr w:type="gramEnd"/>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通常由带婴儿床、主机、加热温控仪、床垫加热器、辐射热源在内的电功率装置组成。用电磁光谱红外范围的直接辐射能量来保持婴儿患</w:t>
            </w:r>
            <w:r w:rsidRPr="009C262D">
              <w:rPr>
                <w:rFonts w:asciiTheme="minorEastAsia" w:eastAsiaTheme="minorEastAsia" w:hAnsiTheme="minorEastAsia" w:hint="eastAsia"/>
                <w:bCs/>
                <w:color w:val="auto"/>
                <w:kern w:val="2"/>
                <w:lang w:val="en-US"/>
              </w:rPr>
              <w:lastRenderedPageBreak/>
              <w:t>者的热平衡。</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III</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648"/>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16</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08-05-07</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网式雾化器</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网式雾化器可由主机（含雾化及控制部分）、网式喷雾头、喷嘴/面罩组成，可按结构、组成、技术参数、附加辅助功能等不同分为若干型号，通过超声波震动将药液从喷嘴型的网式喷雾头的孔穴挤出，雾化药物</w:t>
            </w:r>
            <w:proofErr w:type="gramStart"/>
            <w:r w:rsidRPr="009C262D">
              <w:rPr>
                <w:rFonts w:asciiTheme="minorEastAsia" w:eastAsiaTheme="minorEastAsia" w:hAnsiTheme="minorEastAsia" w:hint="eastAsia"/>
                <w:bCs/>
                <w:color w:val="auto"/>
                <w:kern w:val="2"/>
                <w:lang w:val="en-US"/>
              </w:rPr>
              <w:t>供治疗</w:t>
            </w:r>
            <w:proofErr w:type="gramEnd"/>
            <w:r w:rsidRPr="009C262D">
              <w:rPr>
                <w:rFonts w:asciiTheme="minorEastAsia" w:eastAsiaTheme="minorEastAsia" w:hAnsiTheme="minorEastAsia" w:hint="eastAsia"/>
                <w:bCs/>
                <w:color w:val="auto"/>
                <w:kern w:val="2"/>
                <w:lang w:val="en-US"/>
              </w:rPr>
              <w:t>用。产品性能指标采用下列参考标准中的适用部分，如：YY 0109-2003超声雾化器</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259"/>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17</w:t>
            </w:r>
          </w:p>
        </w:tc>
        <w:tc>
          <w:tcPr>
            <w:tcW w:w="1930"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08-07-02</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医用氮氧混合供气装置</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通常由主机、控制系统和管路等组成。用于氧气和氮气按一定比例的混合。</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648"/>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18</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09-01-05</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盆底肌肉治疗电极</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产品由连接端、电缆、和探头组成，可按材质、技术参数、尺寸等不同分为若干型号及规格；与盆腔电刺激或肌电生物反馈类主机配套使用，用于传递电刺激信号及盆底</w:t>
            </w:r>
            <w:proofErr w:type="gramStart"/>
            <w:r w:rsidRPr="009C262D">
              <w:rPr>
                <w:rFonts w:asciiTheme="minorEastAsia" w:eastAsiaTheme="minorEastAsia" w:hAnsiTheme="minorEastAsia" w:hint="eastAsia"/>
                <w:bCs/>
                <w:color w:val="auto"/>
                <w:kern w:val="2"/>
                <w:lang w:val="en-US"/>
              </w:rPr>
              <w:t>肌</w:t>
            </w:r>
            <w:proofErr w:type="gramEnd"/>
            <w:r w:rsidRPr="009C262D">
              <w:rPr>
                <w:rFonts w:asciiTheme="minorEastAsia" w:eastAsiaTheme="minorEastAsia" w:hAnsiTheme="minorEastAsia" w:hint="eastAsia"/>
                <w:bCs/>
                <w:color w:val="auto"/>
                <w:kern w:val="2"/>
                <w:lang w:val="en-US"/>
              </w:rPr>
              <w:t>电信号。产品性能指标采用下列参考标准中的适用部分，如： YY 0868-2011神经和肌肉刺激器用电极。</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519"/>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19</w:t>
            </w:r>
          </w:p>
        </w:tc>
        <w:tc>
          <w:tcPr>
            <w:tcW w:w="1930"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09-02-03</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冷喷剂</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通常由气雾罐、气雾阀、气雾</w:t>
            </w:r>
            <w:proofErr w:type="gramStart"/>
            <w:r w:rsidRPr="009C262D">
              <w:rPr>
                <w:rFonts w:asciiTheme="minorEastAsia" w:eastAsiaTheme="minorEastAsia" w:hAnsiTheme="minorEastAsia" w:hint="eastAsia"/>
                <w:bCs/>
                <w:color w:val="auto"/>
                <w:kern w:val="2"/>
                <w:lang w:val="en-US"/>
              </w:rPr>
              <w:t>罐内容</w:t>
            </w:r>
            <w:proofErr w:type="gramEnd"/>
            <w:r w:rsidRPr="009C262D">
              <w:rPr>
                <w:rFonts w:asciiTheme="minorEastAsia" w:eastAsiaTheme="minorEastAsia" w:hAnsiTheme="minorEastAsia" w:hint="eastAsia"/>
                <w:bCs/>
                <w:color w:val="auto"/>
                <w:kern w:val="2"/>
                <w:lang w:val="en-US"/>
              </w:rPr>
              <w:t>物组成，气雾</w:t>
            </w:r>
            <w:proofErr w:type="gramStart"/>
            <w:r w:rsidRPr="009C262D">
              <w:rPr>
                <w:rFonts w:asciiTheme="minorEastAsia" w:eastAsiaTheme="minorEastAsia" w:hAnsiTheme="minorEastAsia" w:hint="eastAsia"/>
                <w:bCs/>
                <w:color w:val="auto"/>
                <w:kern w:val="2"/>
                <w:lang w:val="en-US"/>
              </w:rPr>
              <w:t>罐内容</w:t>
            </w:r>
            <w:proofErr w:type="gramEnd"/>
            <w:r w:rsidRPr="009C262D">
              <w:rPr>
                <w:rFonts w:asciiTheme="minorEastAsia" w:eastAsiaTheme="minorEastAsia" w:hAnsiTheme="minorEastAsia" w:hint="eastAsia"/>
                <w:bCs/>
                <w:color w:val="auto"/>
                <w:kern w:val="2"/>
                <w:lang w:val="en-US"/>
              </w:rPr>
              <w:t>物一般由丁烷、异丁烷、丙烷、丙二醇组成。通过从轻微烧伤处吸取热量，缓和清理伤口时的疼痛，并减轻擦伤和扭伤引起的肿胀。用于快速产生冷却喷雾缓和清理伤口时的疼痛。</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245"/>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20</w:t>
            </w:r>
          </w:p>
        </w:tc>
        <w:tc>
          <w:tcPr>
            <w:tcW w:w="1930"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10-04-01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一次性使用连续性血液净化管路</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由血液侧管路（动脉管路、静脉管路）和其他辅助管路组成。无菌提供，一次性使用。与血液净化设备和血液净化耗材配合使用，对患者进行连续性肾脏替代治疗及人工肝治疗</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616"/>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21</w:t>
            </w:r>
          </w:p>
        </w:tc>
        <w:tc>
          <w:tcPr>
            <w:tcW w:w="1930"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10-06-02</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静脉贮血器</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上盖、血库、滤网、出血嘴等组成。无菌提供，一次性使用。在临床心脏直视手术体外循环时，配合膜式氧合器使用，用于贮存、祛泡、过滤体外循环血液。豁免情况不包括使用新型材料、新作用机理、新功能的产品。</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710"/>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22</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13-01-01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金属锁定接骨板</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由符合GB 4234、GB/T 13810、ISO 5832-1、ISO 5832-2、ISO 5832-3标准规定的不锈钢、纯钛、钛合金材料，通过常规的机械加工、热处理及表面处理工艺（不包括3D打印等创新工艺）制成,不包含全新结构设计的产品。适用于四肢骨折内固定。</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648"/>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23</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13-01-01</w:t>
            </w:r>
          </w:p>
        </w:tc>
        <w:tc>
          <w:tcPr>
            <w:tcW w:w="2490" w:type="dxa"/>
            <w:noWrap/>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金属锁定接骨螺钉</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产品由符合GB 4234、ISO 5832-1标准规定的不锈钢和符合GB/T 13810、ISO 5832-2、ISO 5832-3、ISO 5832-11标准规定的纯钛、Ti6Al4V、Ti6Al4VELI、Ti6Al7Nb钛合金材料，通过常规的机械加工、热处理及表面处理工艺（不包括3D打印等创新工艺）制成，不包含</w:t>
            </w:r>
            <w:r w:rsidRPr="009C262D">
              <w:rPr>
                <w:rFonts w:asciiTheme="minorEastAsia" w:eastAsiaTheme="minorEastAsia" w:hAnsiTheme="minorEastAsia" w:hint="eastAsia"/>
                <w:bCs/>
                <w:color w:val="auto"/>
                <w:kern w:val="2"/>
                <w:lang w:val="en-US"/>
              </w:rPr>
              <w:lastRenderedPageBreak/>
              <w:t>全新结构设计的产品。适用于四肢骨折内固定。</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742"/>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24</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13-01-04</w:t>
            </w:r>
          </w:p>
        </w:tc>
        <w:tc>
          <w:tcPr>
            <w:tcW w:w="2490" w:type="dxa"/>
            <w:noWrap/>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金属带锁髓内钉</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由符合GB 4234、GB/T 13810、ISO 5832-1、ISO 5832-2、ISO 5832-3标准规定的不锈钢、纯钛、钛合金材料，通过常规的机械加工、热处理及表面处理工艺（不包括3D打印等创新工艺）制成。通常</w:t>
            </w:r>
            <w:proofErr w:type="gramStart"/>
            <w:r w:rsidRPr="009C262D">
              <w:rPr>
                <w:rFonts w:asciiTheme="minorEastAsia" w:eastAsiaTheme="minorEastAsia" w:hAnsiTheme="minorEastAsia" w:hint="eastAsia"/>
                <w:bCs/>
                <w:color w:val="auto"/>
                <w:kern w:val="2"/>
                <w:lang w:val="en-US"/>
              </w:rPr>
              <w:t>由主钉和</w:t>
            </w:r>
            <w:proofErr w:type="gramEnd"/>
            <w:r w:rsidRPr="009C262D">
              <w:rPr>
                <w:rFonts w:asciiTheme="minorEastAsia" w:eastAsiaTheme="minorEastAsia" w:hAnsiTheme="minorEastAsia" w:hint="eastAsia"/>
                <w:bCs/>
                <w:color w:val="auto"/>
                <w:kern w:val="2"/>
                <w:lang w:val="en-US"/>
              </w:rPr>
              <w:t>/或附件组成，</w:t>
            </w:r>
            <w:proofErr w:type="gramStart"/>
            <w:r w:rsidRPr="009C262D">
              <w:rPr>
                <w:rFonts w:asciiTheme="minorEastAsia" w:eastAsiaTheme="minorEastAsia" w:hAnsiTheme="minorEastAsia" w:hint="eastAsia"/>
                <w:bCs/>
                <w:color w:val="auto"/>
                <w:kern w:val="2"/>
                <w:lang w:val="en-US"/>
              </w:rPr>
              <w:t>主钉通常</w:t>
            </w:r>
            <w:proofErr w:type="gramEnd"/>
            <w:r w:rsidRPr="009C262D">
              <w:rPr>
                <w:rFonts w:asciiTheme="minorEastAsia" w:eastAsiaTheme="minorEastAsia" w:hAnsiTheme="minorEastAsia" w:hint="eastAsia"/>
                <w:bCs/>
                <w:color w:val="auto"/>
                <w:kern w:val="2"/>
                <w:lang w:val="en-US"/>
              </w:rPr>
              <w:t>为管状、棒状或针状，不包含全新结构设计的产品。适用于长骨骨折内骨钉。</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1073"/>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25</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13-02-01</w:t>
            </w:r>
          </w:p>
        </w:tc>
        <w:tc>
          <w:tcPr>
            <w:tcW w:w="2490" w:type="dxa"/>
            <w:noWrap/>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不可吸收界面螺钉</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产品由符合GB/T 13810、ISO 5832-3、ISO 5832-11标准规定的Ti6Al4V、Ti6Al4VELI、Ti6Al7Nb钛合金材料，通过常规的机械加工、热处理及表面处理工艺（不包括3D打印等创新工艺）制成。可带有由聚丙烯、聚酯、聚酰胺等不可吸收材料制成的缝线。不包含全新结构设计的产品。通过挤压使韧带或肌腱固定到骨组织中。</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907"/>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26</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13-11-03</w:t>
            </w:r>
          </w:p>
        </w:tc>
        <w:tc>
          <w:tcPr>
            <w:tcW w:w="2490" w:type="dxa"/>
            <w:noWrap/>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胸骨结扎带</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产品由符合GB/T 13810、ISO 5832-3、ISO 5832-11标准规定的Ti6Al4V、Ti6Al4VELI、Ti6Al7Nb钛合金材料制成，通常由结扎带和穿引弯钩两部分组成，其中穿引弯钩非植入人体，仅用于辅助结扎带穿引安装，安装后废弃。也可由上下片及螺钉组成。也可由带或不带夹子的捆绑钢缆、粗隆爪、钢缆钉、钢缆螺丝钉、钢板组成。用于开胸术中的胸骨固定。不包含全新结构设计的产品。器械可单独使用，也可与其它传统不锈钢</w:t>
            </w:r>
            <w:proofErr w:type="gramStart"/>
            <w:r w:rsidRPr="009C262D">
              <w:rPr>
                <w:rFonts w:asciiTheme="minorEastAsia" w:eastAsiaTheme="minorEastAsia" w:hAnsiTheme="minorEastAsia" w:hint="eastAsia"/>
                <w:bCs/>
                <w:color w:val="auto"/>
                <w:kern w:val="2"/>
                <w:lang w:val="en-US"/>
              </w:rPr>
              <w:t>丝配合</w:t>
            </w:r>
            <w:proofErr w:type="gramEnd"/>
            <w:r w:rsidRPr="009C262D">
              <w:rPr>
                <w:rFonts w:asciiTheme="minorEastAsia" w:eastAsiaTheme="minorEastAsia" w:hAnsiTheme="minorEastAsia" w:hint="eastAsia"/>
                <w:bCs/>
                <w:color w:val="auto"/>
                <w:kern w:val="2"/>
                <w:lang w:val="en-US"/>
              </w:rPr>
              <w:t>使用。</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III</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778"/>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27</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14-01-01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皮下电子注射器控制助推装置</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由注射器主机、抽吸泵、抽吸管和电源连接线组成。需配合注射器、注射针头使用。使用时，将装好</w:t>
            </w:r>
            <w:proofErr w:type="gramStart"/>
            <w:r w:rsidRPr="009C262D">
              <w:rPr>
                <w:rFonts w:asciiTheme="minorEastAsia" w:eastAsiaTheme="minorEastAsia" w:hAnsiTheme="minorEastAsia" w:hint="eastAsia"/>
                <w:bCs/>
                <w:color w:val="auto"/>
                <w:kern w:val="2"/>
                <w:lang w:val="en-US"/>
              </w:rPr>
              <w:t>玻</w:t>
            </w:r>
            <w:proofErr w:type="gramEnd"/>
            <w:r w:rsidRPr="009C262D">
              <w:rPr>
                <w:rFonts w:asciiTheme="minorEastAsia" w:eastAsiaTheme="minorEastAsia" w:hAnsiTheme="minorEastAsia" w:hint="eastAsia"/>
                <w:bCs/>
                <w:color w:val="auto"/>
                <w:kern w:val="2"/>
                <w:lang w:val="en-US"/>
              </w:rPr>
              <w:t>尿酸的注射器和注射针头安装在注射器主机上，通过注射器主机调节进针深度、出药速度和药物剂量。用于辅助将透明质酸（又称</w:t>
            </w:r>
            <w:proofErr w:type="gramStart"/>
            <w:r w:rsidRPr="009C262D">
              <w:rPr>
                <w:rFonts w:asciiTheme="minorEastAsia" w:eastAsiaTheme="minorEastAsia" w:hAnsiTheme="minorEastAsia" w:hint="eastAsia"/>
                <w:bCs/>
                <w:color w:val="auto"/>
                <w:kern w:val="2"/>
                <w:lang w:val="en-US"/>
              </w:rPr>
              <w:t>玻</w:t>
            </w:r>
            <w:proofErr w:type="gramEnd"/>
            <w:r w:rsidRPr="009C262D">
              <w:rPr>
                <w:rFonts w:asciiTheme="minorEastAsia" w:eastAsiaTheme="minorEastAsia" w:hAnsiTheme="minorEastAsia" w:hint="eastAsia"/>
                <w:bCs/>
                <w:color w:val="auto"/>
                <w:kern w:val="2"/>
                <w:lang w:val="en-US"/>
              </w:rPr>
              <w:t>尿酸）注射到面部真皮层中，解决真皮层缺少水分、皮肤粗糙、毛孔粗大、面部松弛有皱纹等问题。不直接与身体或</w:t>
            </w:r>
            <w:proofErr w:type="gramStart"/>
            <w:r w:rsidRPr="009C262D">
              <w:rPr>
                <w:rFonts w:asciiTheme="minorEastAsia" w:eastAsiaTheme="minorEastAsia" w:hAnsiTheme="minorEastAsia" w:hint="eastAsia"/>
                <w:bCs/>
                <w:color w:val="auto"/>
                <w:kern w:val="2"/>
                <w:lang w:val="en-US"/>
              </w:rPr>
              <w:t>玻</w:t>
            </w:r>
            <w:proofErr w:type="gramEnd"/>
            <w:r w:rsidRPr="009C262D">
              <w:rPr>
                <w:rFonts w:asciiTheme="minorEastAsia" w:eastAsiaTheme="minorEastAsia" w:hAnsiTheme="minorEastAsia" w:hint="eastAsia"/>
                <w:bCs/>
                <w:color w:val="auto"/>
                <w:kern w:val="2"/>
                <w:lang w:val="en-US"/>
              </w:rPr>
              <w:t>尿酸接触。</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1426"/>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28</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14-10-11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碳纤维敷料</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为采用碳纤维、活性炭、无纺布等原材料制成的医用敷料。通过碳纤维、活性炭的吸附功能，吸收创面渗出液。所含成分不可被人体吸收。无菌提供，一次性使用。用于手术后缝合创面、机械创伤等非慢性创面的快速干燥、覆盖和护理。豁免情况不包括：（1）适应症宣称可以促进上皮化、引导组织再生、促进伤口愈合、减轻疼痛、抗菌、防感染、抗病毒、止血、溶解坏死组织、减少疤痕、防粘连、作为人</w:t>
            </w:r>
            <w:r w:rsidRPr="009C262D">
              <w:rPr>
                <w:rFonts w:asciiTheme="minorEastAsia" w:eastAsiaTheme="minorEastAsia" w:hAnsiTheme="minorEastAsia" w:hint="eastAsia"/>
                <w:bCs/>
                <w:color w:val="auto"/>
                <w:kern w:val="2"/>
                <w:lang w:val="en-US"/>
              </w:rPr>
              <w:lastRenderedPageBreak/>
              <w:t>工皮/皮肤替代物等作用的产品；（2）宣称可以用于体内伤口、三度烧伤、感染创面、坏死组织较多的创面、发生创面脓毒症的患者等情况的产品；（3）含有活性成分的产品：如药品/药用活性成分、生物制品/生物活性成分、银、消毒剂等；（4）其他新型产品,如新材料、新作用机理、新功能的产品。</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985"/>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29</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14-12-02</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硅凝胶疤痕修复材料</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通常为含聚二甲基硅氧烷的凝胶、液体或敷贴。所含成分不具有药理学作用。用于辅助改善皮肤病理性疤痕，辅助预防皮肤病理性疤痕的形成，不用于未愈合的伤口。</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259"/>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30</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14-16-03</w:t>
            </w:r>
          </w:p>
        </w:tc>
        <w:tc>
          <w:tcPr>
            <w:tcW w:w="2490" w:type="dxa"/>
            <w:noWrap/>
            <w:vAlign w:val="center"/>
            <w:hideMark/>
          </w:tcPr>
          <w:p w:rsidR="00FF0DC9" w:rsidRPr="009C262D" w:rsidRDefault="00FF0DC9" w:rsidP="00C3300A">
            <w:pPr>
              <w:rPr>
                <w:rFonts w:asciiTheme="minorEastAsia" w:eastAsiaTheme="minorEastAsia" w:hAnsiTheme="minorEastAsia"/>
                <w:bCs/>
                <w:color w:val="auto"/>
                <w:kern w:val="2"/>
                <w:lang w:val="en-US"/>
              </w:rPr>
            </w:pPr>
            <w:proofErr w:type="gramStart"/>
            <w:r w:rsidRPr="009C262D">
              <w:rPr>
                <w:rFonts w:asciiTheme="minorEastAsia" w:eastAsiaTheme="minorEastAsia" w:hAnsiTheme="minorEastAsia" w:hint="eastAsia"/>
                <w:bCs/>
                <w:color w:val="auto"/>
                <w:kern w:val="2"/>
                <w:lang w:val="en-US"/>
              </w:rPr>
              <w:t>预充式导管</w:t>
            </w:r>
            <w:proofErr w:type="gramEnd"/>
            <w:r w:rsidRPr="009C262D">
              <w:rPr>
                <w:rFonts w:asciiTheme="minorEastAsia" w:eastAsiaTheme="minorEastAsia" w:hAnsiTheme="minorEastAsia" w:hint="eastAsia"/>
                <w:bCs/>
                <w:color w:val="auto"/>
                <w:kern w:val="2"/>
                <w:lang w:val="en-US"/>
              </w:rPr>
              <w:t>冲洗器</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通常由0.9%氯化钠注射液、外套、芯杆、橡胶活塞组成。用于不同药物治疗的间隙，封闭、冲洗导管的管路末端。</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553"/>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31</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14-16-08</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体表器械固定装置</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通常是能专门为某一种或某一类器械的使用提供固定的装置。与创口接触。无菌提供，一次性使用。用于固定使用过程中的医疗器械。</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519"/>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32</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15-05-01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传染病员运送负压隔离舱</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通常由负压舱体（活动舱盖、舱底）、排风过滤装置组成。通常工作时充气展开，储运时放气可折叠。用于传染病员的安全隔离转运。可与担架车、生命体征检测仪器配合使用，对传染病患者进行运送途中监护。</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489"/>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33</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16-03-01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手持式视力筛查仪</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手持式视力筛查仪通常由主机和适配器组成。利用哈特曼-夏克（HARTMAN SHACK）感受器的原理，光线经眼的屈光系统聚焦折射到感受器上，经过处理测得双眼的屈光数据。适用于测量屈光度，仅用于患者视力筛查，不能用于验光配镜。</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519"/>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34</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16-03-01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验光设备和器具</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分类编码16-03-01下所有产品均免于进行临床试验。通常由球</w:t>
            </w:r>
            <w:proofErr w:type="gramStart"/>
            <w:r w:rsidRPr="009C262D">
              <w:rPr>
                <w:rFonts w:asciiTheme="minorEastAsia" w:eastAsiaTheme="minorEastAsia" w:hAnsiTheme="minorEastAsia" w:hint="eastAsia"/>
                <w:bCs/>
                <w:color w:val="auto"/>
                <w:kern w:val="2"/>
                <w:lang w:val="en-US"/>
              </w:rPr>
              <w:t>镜度片、柱镜度片</w:t>
            </w:r>
            <w:proofErr w:type="gramEnd"/>
            <w:r w:rsidRPr="009C262D">
              <w:rPr>
                <w:rFonts w:asciiTheme="minorEastAsia" w:eastAsiaTheme="minorEastAsia" w:hAnsiTheme="minorEastAsia" w:hint="eastAsia"/>
                <w:bCs/>
                <w:color w:val="auto"/>
                <w:kern w:val="2"/>
                <w:lang w:val="en-US"/>
              </w:rPr>
              <w:t>、棱镜度片、辅助镜片和机械换片结构组成。利用被检者对视标成像清晰程度的主观表述，测出被检者的屈光状态，与视力表配合使用。用于主观测量人眼屈光状态。</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648"/>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35</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16-03-02</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同视机</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通常由两套</w:t>
            </w:r>
            <w:proofErr w:type="gramStart"/>
            <w:r w:rsidRPr="009C262D">
              <w:rPr>
                <w:rFonts w:asciiTheme="minorEastAsia" w:eastAsiaTheme="minorEastAsia" w:hAnsiTheme="minorEastAsia" w:hint="eastAsia"/>
                <w:bCs/>
                <w:color w:val="auto"/>
                <w:kern w:val="2"/>
                <w:lang w:val="en-US"/>
              </w:rPr>
              <w:t>视标空间</w:t>
            </w:r>
            <w:proofErr w:type="gramEnd"/>
            <w:r w:rsidRPr="009C262D">
              <w:rPr>
                <w:rFonts w:asciiTheme="minorEastAsia" w:eastAsiaTheme="minorEastAsia" w:hAnsiTheme="minorEastAsia" w:hint="eastAsia"/>
                <w:bCs/>
                <w:color w:val="auto"/>
                <w:kern w:val="2"/>
                <w:lang w:val="en-US"/>
              </w:rPr>
              <w:t>方位可调，光亮可调的独立光学系统及可对两套系统进行空间方位变化测量的机械系统组成，并可结合其他辅助部件（如</w:t>
            </w:r>
            <w:proofErr w:type="gramStart"/>
            <w:r w:rsidRPr="009C262D">
              <w:rPr>
                <w:rFonts w:asciiTheme="minorEastAsia" w:eastAsiaTheme="minorEastAsia" w:hAnsiTheme="minorEastAsia" w:hint="eastAsia"/>
                <w:bCs/>
                <w:color w:val="auto"/>
                <w:kern w:val="2"/>
                <w:lang w:val="en-US"/>
              </w:rPr>
              <w:t>海丁格刷</w:t>
            </w:r>
            <w:proofErr w:type="gramEnd"/>
            <w:r w:rsidRPr="009C262D">
              <w:rPr>
                <w:rFonts w:asciiTheme="minorEastAsia" w:eastAsiaTheme="minorEastAsia" w:hAnsiTheme="minorEastAsia" w:hint="eastAsia"/>
                <w:bCs/>
                <w:color w:val="auto"/>
                <w:kern w:val="2"/>
                <w:lang w:val="en-US"/>
              </w:rPr>
              <w:t>、偏振片）使用。用于检查人眼的同时视、融像、立体视等双眼视觉功能、以及诊断主客观斜视角、异常视网膜对应、隐斜、后像、弱斜视等眼科疾病，也可供弱视训练、治疗。</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836"/>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36</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16-03-02</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瞳距测量仪、瞳距仪</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通常由光源、视标、读数系统、机械调节系统、观察或显示系统组成。利用光学成像定位原理，测量人眼瞳距。用于测量人眼两瞳孔之间的</w:t>
            </w:r>
            <w:r w:rsidRPr="009C262D">
              <w:rPr>
                <w:rFonts w:asciiTheme="minorEastAsia" w:eastAsiaTheme="minorEastAsia" w:hAnsiTheme="minorEastAsia" w:hint="eastAsia"/>
                <w:bCs/>
                <w:color w:val="auto"/>
                <w:kern w:val="2"/>
                <w:lang w:val="en-US"/>
              </w:rPr>
              <w:lastRenderedPageBreak/>
              <w:t>距离。</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403"/>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37</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16-03-02</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眼像差仪、全眼波前像差仪</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通常由光学定位系统、像差测量系统、信号探测器和数据处理分析系统组成。由光线追迹导出的光程差通过拟合获得ZERNIK系数的方法进行波前像差分析。用于测量人眼像差。</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547"/>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38</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16-04-13</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角膜测厚仪</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通常由光学发射系统和光学测量系统组成。通过两反射光路的偏离方法或光程差方法测量角膜厚度。用于测量角膜厚度。</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519"/>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39</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16-04-17</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眼压计</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分类编码16-04-17下所有产品均免于进行临床试验。通常由角膜形状变化发生器、角膜变形测量系统或接触角膜装置</w:t>
            </w:r>
            <w:proofErr w:type="gramStart"/>
            <w:r w:rsidRPr="009C262D">
              <w:rPr>
                <w:rFonts w:asciiTheme="minorEastAsia" w:eastAsiaTheme="minorEastAsia" w:hAnsiTheme="minorEastAsia" w:hint="eastAsia"/>
                <w:bCs/>
                <w:color w:val="auto"/>
                <w:kern w:val="2"/>
                <w:lang w:val="en-US"/>
              </w:rPr>
              <w:t>和压变传感器</w:t>
            </w:r>
            <w:proofErr w:type="gramEnd"/>
            <w:r w:rsidRPr="009C262D">
              <w:rPr>
                <w:rFonts w:asciiTheme="minorEastAsia" w:eastAsiaTheme="minorEastAsia" w:hAnsiTheme="minorEastAsia" w:hint="eastAsia"/>
                <w:bCs/>
                <w:color w:val="auto"/>
                <w:kern w:val="2"/>
                <w:lang w:val="en-US"/>
              </w:rPr>
              <w:t>组成。通过角膜形状变化（压平式、压陷式、非接触式等）或直接测量角膜血流脉动压力变化，换算获得眼内压。用于测量眼内压力。</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403"/>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40</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16-04-18</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眼球突出计</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通常由左右棱镜座、导向横杆、活动支座、固定支座等部件组成。用于检查眼球角膜顶突出眶缘高度。</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223"/>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41</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16-04-21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眼科诊断辅助器具</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16-04-21分类编码下所有Ⅱ类产品均免于进行临床试验。</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533"/>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42</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16-05-06</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眼内照明器光纤探头</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通常由光纤和插入头组成。无菌提供。与眼科照明光源连接使用，可直接插入人眼，也可和套管</w:t>
            </w:r>
            <w:proofErr w:type="gramStart"/>
            <w:r w:rsidRPr="009C262D">
              <w:rPr>
                <w:rFonts w:asciiTheme="minorEastAsia" w:eastAsiaTheme="minorEastAsia" w:hAnsiTheme="minorEastAsia" w:hint="eastAsia"/>
                <w:bCs/>
                <w:color w:val="auto"/>
                <w:kern w:val="2"/>
                <w:lang w:val="en-US"/>
              </w:rPr>
              <w:t>针系统</w:t>
            </w:r>
            <w:proofErr w:type="gramEnd"/>
            <w:r w:rsidRPr="009C262D">
              <w:rPr>
                <w:rFonts w:asciiTheme="minorEastAsia" w:eastAsiaTheme="minorEastAsia" w:hAnsiTheme="minorEastAsia" w:hint="eastAsia"/>
                <w:bCs/>
                <w:color w:val="auto"/>
                <w:kern w:val="2"/>
                <w:lang w:val="en-US"/>
              </w:rPr>
              <w:t>一起使用。用于眼内手术时传输照明光源发出的光，进行眼内照明</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655"/>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43</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16-05-06</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眼科止血器、眼科烧灼止血器、一次性使用</w:t>
            </w:r>
            <w:proofErr w:type="gramStart"/>
            <w:r w:rsidRPr="009C262D">
              <w:rPr>
                <w:rFonts w:asciiTheme="minorEastAsia" w:eastAsiaTheme="minorEastAsia" w:hAnsiTheme="minorEastAsia" w:hint="eastAsia"/>
                <w:bCs/>
                <w:color w:val="auto"/>
                <w:kern w:val="2"/>
                <w:lang w:val="en-US"/>
              </w:rPr>
              <w:t>便携电凝刀</w:t>
            </w:r>
            <w:proofErr w:type="gramEnd"/>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通常由电池、治疗头、电阻丝、外壳等组成。用于眼科手术，通过自带电加热的治疗头烧灼血管断端止血。</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447"/>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44</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16-05-06</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proofErr w:type="gramStart"/>
            <w:r w:rsidRPr="009C262D">
              <w:rPr>
                <w:rFonts w:asciiTheme="minorEastAsia" w:eastAsiaTheme="minorEastAsia" w:hAnsiTheme="minorEastAsia" w:hint="eastAsia"/>
                <w:bCs/>
                <w:color w:val="auto"/>
                <w:kern w:val="2"/>
                <w:lang w:val="en-US"/>
              </w:rPr>
              <w:t>注吸仪</w:t>
            </w:r>
            <w:proofErr w:type="gramEnd"/>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w:t>
            </w:r>
            <w:proofErr w:type="gramStart"/>
            <w:r w:rsidRPr="009C262D">
              <w:rPr>
                <w:rFonts w:asciiTheme="minorEastAsia" w:eastAsiaTheme="minorEastAsia" w:hAnsiTheme="minorEastAsia" w:hint="eastAsia"/>
                <w:bCs/>
                <w:color w:val="auto"/>
                <w:kern w:val="2"/>
                <w:lang w:val="en-US"/>
              </w:rPr>
              <w:t>由注吸</w:t>
            </w:r>
            <w:proofErr w:type="gramEnd"/>
            <w:r w:rsidRPr="009C262D">
              <w:rPr>
                <w:rFonts w:asciiTheme="minorEastAsia" w:eastAsiaTheme="minorEastAsia" w:hAnsiTheme="minorEastAsia" w:hint="eastAsia"/>
                <w:bCs/>
                <w:color w:val="auto"/>
                <w:kern w:val="2"/>
                <w:lang w:val="en-US"/>
              </w:rPr>
              <w:t>针头、负压源和调节阀等组成。用于眼科手术时吸取混浊皮质。</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684"/>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45</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16-06-02</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接触镜去蛋白片、清除蛋白酶片</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含有一种或多种有效成分（如：酶），具有清洁作用的接触镜护理产品，用于去除接触镜表面的沉淀物和其他污染物。配戴接触镜前需彻底冲洗。产品与已获准境内注册产品具有等同性。产品组成材料成熟，新型作用机理除外。</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770"/>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46</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16-06-04</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光学弱视助视器、低视力放大镜、低视力望远镜</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通常由光学系统（凸透镜、凹透镜、棱镜和平面镜等）组成。利用光学成像原理，帮助低视力者提高视觉活动水平。用于改变目标的大小，或改变目标在视网膜上的成像位置，帮助低视力者提高视觉活动水平。</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806"/>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47</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16-06-04</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光电弱视助视器</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光学电子成像系统和显示系统组成。利用摄像获得影像，经数码处理给予放大，能方便的进行放大倍数调整、焦距调整、亮度和对比度调整，利用光学电子手段达到光能增强。用于改变目标的大小，或改变目标在视网膜上的成像位置，帮助低视力者提高视觉活动水平。</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454"/>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48</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17-01-01</w:t>
            </w:r>
          </w:p>
        </w:tc>
        <w:tc>
          <w:tcPr>
            <w:tcW w:w="2490" w:type="dxa"/>
            <w:noWrap/>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牙周袋探测设备</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通常由探针、手柄、脚踏开关和电源组成。通过使用压力敏感电子探针对牙周进行触诊，测量牙周袋深度。用于探测牙周袋深度。</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519"/>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49</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17-01-06</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口腔检查灯</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通常由照明装置和检测观察装置组成。照明装置通常包括照明手柄、电源、患者护目镜；检测观察装置通常包括观察镜。用于口腔照明及检测观察，并且辅助增强口腔检查中粘膜异常和口腔病变的可视化程度。</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562"/>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50</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17-03-12</w:t>
            </w:r>
          </w:p>
        </w:tc>
        <w:tc>
          <w:tcPr>
            <w:tcW w:w="2490" w:type="dxa"/>
            <w:noWrap/>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牙齿研磨机</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通常由研磨机和一次性无菌研磨容器组成。通常为电动。用于口腔科手术过程中将牙齿碎骨研磨成骨粉以供手术时使用。</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763"/>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51</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17-05-08</w:t>
            </w:r>
          </w:p>
        </w:tc>
        <w:tc>
          <w:tcPr>
            <w:tcW w:w="2490" w:type="dxa"/>
            <w:noWrap/>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光固化氢氧化钙间接盖髓剂</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光固化氢氧化钙间接盖髓剂是一种光固化阻</w:t>
            </w:r>
            <w:proofErr w:type="gramStart"/>
            <w:r w:rsidRPr="009C262D">
              <w:rPr>
                <w:rFonts w:asciiTheme="minorEastAsia" w:eastAsiaTheme="minorEastAsia" w:hAnsiTheme="minorEastAsia" w:hint="eastAsia"/>
                <w:bCs/>
                <w:color w:val="auto"/>
                <w:kern w:val="2"/>
                <w:lang w:val="en-US"/>
              </w:rPr>
              <w:t>射性氢</w:t>
            </w:r>
            <w:proofErr w:type="gramEnd"/>
            <w:r w:rsidRPr="009C262D">
              <w:rPr>
                <w:rFonts w:asciiTheme="minorEastAsia" w:eastAsiaTheme="minorEastAsia" w:hAnsiTheme="minorEastAsia" w:hint="eastAsia"/>
                <w:bCs/>
                <w:color w:val="auto"/>
                <w:kern w:val="2"/>
                <w:lang w:val="en-US"/>
              </w:rPr>
              <w:t>氧化钙间接盖髓剂，主要组成成分通常为氢氧化钙、氨基甲酸酯双甲基丙烯酸酯(UDMA)、钡铝硅酸盐、硫酸钡、二氧化硅、三乙二醇二甲基丙烯酸酯(TEDMA)等。产品不用于直接盖髓，作为间接盖髓剂，为其他充填材料垫底。豁免情况不包括与已上市产品材料、技术、设计或作用机理、功能等不同的产品。</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389"/>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52</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21-05-02</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筛查、分析软件</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通常由软件安装光盘（或者从网络下载安装程序）组成。通过对临床、生化、免疫等测量数据的分析、计算，从而对疾病进行诊断、评估等。</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367"/>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53</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22-02</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维生素检测仪</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由仪器外壳、维生素检测分析模块、软件、控制系统组成。</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新增</w:t>
            </w:r>
          </w:p>
        </w:tc>
      </w:tr>
      <w:tr w:rsidR="006C76C1" w:rsidRPr="009C262D" w:rsidTr="006C76C1">
        <w:trPr>
          <w:trHeight w:val="519"/>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54</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01-09-01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内窥镜手术动力系统</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产品一般由主机、手柄、刀头组成，通过电机马达带动手柄及刀头进行机械运动，用于内窥镜手术中实现绞碎或切除组织等手术功能（鼻腔部位手术除外）。适用或参考行业标准YY/T 0955《内窥镜手术设备 刨削器》、YY/T 0752 《电动骨组织手术设备》。</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在2019年发布的汇总目录中序号为23，对产品描述进行了修订。</w:t>
            </w:r>
          </w:p>
        </w:tc>
      </w:tr>
      <w:tr w:rsidR="006C76C1" w:rsidRPr="009C262D" w:rsidTr="006C76C1">
        <w:trPr>
          <w:trHeight w:val="389"/>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55</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02-13-03</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内窥镜</w:t>
            </w:r>
            <w:proofErr w:type="gramStart"/>
            <w:r w:rsidRPr="009C262D">
              <w:rPr>
                <w:rFonts w:asciiTheme="minorEastAsia" w:eastAsiaTheme="minorEastAsia" w:hAnsiTheme="minorEastAsia" w:hint="eastAsia"/>
                <w:bCs/>
                <w:color w:val="auto"/>
                <w:kern w:val="2"/>
                <w:lang w:val="en-US"/>
              </w:rPr>
              <w:t>缝合器</w:t>
            </w:r>
            <w:proofErr w:type="gramEnd"/>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不锈钢制成，由夹钳、缝合针、操作杆、控制手柄组成，配合线盒使用，适用于微创手术缝合，在软组织中进行间断缝合或连续缝合。可重复使用。</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在2019年发布的汇总目录中序号为</w:t>
            </w:r>
            <w:r w:rsidRPr="009C262D">
              <w:rPr>
                <w:rFonts w:asciiTheme="minorEastAsia" w:eastAsiaTheme="minorEastAsia" w:hAnsiTheme="minorEastAsia" w:hint="eastAsia"/>
                <w:bCs/>
                <w:color w:val="auto"/>
                <w:kern w:val="2"/>
                <w:lang w:val="en-US"/>
              </w:rPr>
              <w:lastRenderedPageBreak/>
              <w:t>88，对分类编码进行了修订。</w:t>
            </w:r>
          </w:p>
        </w:tc>
      </w:tr>
      <w:tr w:rsidR="006C76C1" w:rsidRPr="009C262D" w:rsidTr="006C76C1">
        <w:trPr>
          <w:trHeight w:val="259"/>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56</w:t>
            </w:r>
          </w:p>
        </w:tc>
        <w:tc>
          <w:tcPr>
            <w:tcW w:w="1930"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07-05-01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纯音听力计</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与“366 听力计”合并。</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在2019年发布的汇总目录中序号为365，与“366 听力计”合并。</w:t>
            </w:r>
          </w:p>
        </w:tc>
      </w:tr>
      <w:tr w:rsidR="006C76C1" w:rsidRPr="009C262D" w:rsidTr="006C76C1">
        <w:trPr>
          <w:trHeight w:val="907"/>
        </w:trPr>
        <w:tc>
          <w:tcPr>
            <w:tcW w:w="779"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57</w:t>
            </w:r>
          </w:p>
        </w:tc>
        <w:tc>
          <w:tcPr>
            <w:tcW w:w="1930" w:type="dxa"/>
            <w:noWrap/>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08-04-01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医用分子筛制氧系统</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医用分子筛制氧系统采用变压吸附原理，通过分子筛吸附空气中的氮气，获得含氧量90%以上的富氧空气。通常由空气压缩系统、气源净化系统、空气罐、医用分子筛吸附分离系统、成品气罐、控制系统、监测和报警系统等组成。在医疗机构内建立并使用，经医用气体管道系统向其他用氧医疗器械提供气源，并按其临床适用范围向患者供氧。产品性能指标采用下列参考标准中的适用部分，如：YY 0732-2009，GB 8982-2009，YY/T 0298-1998，YY 1468-2016。</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在2019年发布的汇总目录中序号为386，对产品描述进行了修订。</w:t>
            </w:r>
          </w:p>
        </w:tc>
      </w:tr>
      <w:tr w:rsidR="006C76C1" w:rsidRPr="009C262D" w:rsidTr="006C76C1">
        <w:trPr>
          <w:trHeight w:val="259"/>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58</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08-07-01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医用空气压缩机</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医用空气压缩机用于医用气体导管系统，可由气罐、连接装置和电控箱组成；产生压缩气体供诊疗用。</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在2019年发布的汇总目录中序号为435，对分类编码进行了修订。</w:t>
            </w:r>
          </w:p>
        </w:tc>
      </w:tr>
      <w:tr w:rsidR="006C76C1" w:rsidRPr="009C262D" w:rsidTr="006C76C1">
        <w:trPr>
          <w:trHeight w:val="1037"/>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59</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08-07-04</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医用气体管道系统－供氧系统</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医用气体管道系统－供氧系统通常包含一个中心供氧站（可以是氧气浓缩器、医用氧站或两者的结合）、一套监测和报警系统和具有若干终端的管道分配系统组成，可按中心供氧</w:t>
            </w:r>
            <w:proofErr w:type="gramStart"/>
            <w:r w:rsidRPr="009C262D">
              <w:rPr>
                <w:rFonts w:asciiTheme="minorEastAsia" w:eastAsiaTheme="minorEastAsia" w:hAnsiTheme="minorEastAsia" w:hint="eastAsia"/>
                <w:bCs/>
                <w:color w:val="auto"/>
                <w:kern w:val="2"/>
                <w:lang w:val="en-US"/>
              </w:rPr>
              <w:t>站类型</w:t>
            </w:r>
            <w:proofErr w:type="gramEnd"/>
            <w:r w:rsidRPr="009C262D">
              <w:rPr>
                <w:rFonts w:asciiTheme="minorEastAsia" w:eastAsiaTheme="minorEastAsia" w:hAnsiTheme="minorEastAsia" w:hint="eastAsia"/>
                <w:bCs/>
                <w:color w:val="auto"/>
                <w:kern w:val="2"/>
                <w:lang w:val="en-US"/>
              </w:rPr>
              <w:t>等不同分为若干型号，系统具欠压等声、光报警等功能；供医疗机构集中供氧用。主要产品性能指标采用下列参考标准中的适用部分，如：YY 0801-2010医用气体管道系统终端，YY/T 0799-2010 医用气体低压软管组件，YY 1468-2016 用于医用气体管道系统的氧气浓缩器供气系统，YY/T 0187 医用中心供氧系统通用技术条件。</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在2019年发布的汇总目录中序号为436，对产品描述进行了修订。</w:t>
            </w:r>
          </w:p>
        </w:tc>
      </w:tr>
      <w:tr w:rsidR="006C76C1" w:rsidRPr="009C262D" w:rsidTr="006C76C1">
        <w:trPr>
          <w:trHeight w:val="454"/>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60</w:t>
            </w:r>
          </w:p>
        </w:tc>
        <w:tc>
          <w:tcPr>
            <w:tcW w:w="1930"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13-03-18</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连接阀</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与“171 连接阀”合并。</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在2019年发</w:t>
            </w:r>
            <w:r w:rsidRPr="009C262D">
              <w:rPr>
                <w:rFonts w:asciiTheme="minorEastAsia" w:eastAsiaTheme="minorEastAsia" w:hAnsiTheme="minorEastAsia" w:hint="eastAsia"/>
                <w:bCs/>
                <w:color w:val="auto"/>
                <w:kern w:val="2"/>
                <w:lang w:val="en-US"/>
              </w:rPr>
              <w:lastRenderedPageBreak/>
              <w:t>布的汇总目录中序号为517，与“171 连接阀”合并。</w:t>
            </w:r>
          </w:p>
        </w:tc>
      </w:tr>
      <w:tr w:rsidR="006C76C1" w:rsidRPr="009C262D" w:rsidTr="006C76C1">
        <w:trPr>
          <w:trHeight w:val="648"/>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61</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13-06-05</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动脉瘤夹</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一般采用钛合金等金属材料制成。用于使颅内动脉瘤颈或囊闭塞的装置。用于</w:t>
            </w:r>
            <w:proofErr w:type="gramStart"/>
            <w:r w:rsidRPr="009C262D">
              <w:rPr>
                <w:rFonts w:asciiTheme="minorEastAsia" w:eastAsiaTheme="minorEastAsia" w:hAnsiTheme="minorEastAsia" w:hint="eastAsia"/>
                <w:bCs/>
                <w:color w:val="auto"/>
                <w:kern w:val="2"/>
                <w:lang w:val="en-US"/>
              </w:rPr>
              <w:t>颅内动脉瘤瘤颈或</w:t>
            </w:r>
            <w:proofErr w:type="gramEnd"/>
            <w:r w:rsidRPr="009C262D">
              <w:rPr>
                <w:rFonts w:asciiTheme="minorEastAsia" w:eastAsiaTheme="minorEastAsia" w:hAnsiTheme="minorEastAsia" w:hint="eastAsia"/>
                <w:bCs/>
                <w:color w:val="auto"/>
                <w:kern w:val="2"/>
                <w:lang w:val="en-US"/>
              </w:rPr>
              <w:t>瘤体的永久性闭塞治疗，也可用于动静脉畸形小血管或动静脉瘘的永久性闭塞治疗。产品与已获准境内注册产品具有等同性，产品组成材料成熟。新型结构设计、新型作用机理、药械组合产品除外。</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Ⅲ</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在2019年发布的汇总目录中序号为520，对产品描述进行了修订。</w:t>
            </w:r>
          </w:p>
        </w:tc>
      </w:tr>
      <w:tr w:rsidR="006C76C1" w:rsidRPr="009C262D" w:rsidTr="006C76C1">
        <w:trPr>
          <w:trHeight w:val="1556"/>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62</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14-10-01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创面敷贴</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对应《医疗器械分类目录》中14-10-01中举例的创面敷贴。通常由涂胶基材、</w:t>
            </w:r>
            <w:proofErr w:type="gramStart"/>
            <w:r w:rsidRPr="009C262D">
              <w:rPr>
                <w:rFonts w:asciiTheme="minorEastAsia" w:eastAsiaTheme="minorEastAsia" w:hAnsiTheme="minorEastAsia" w:hint="eastAsia"/>
                <w:bCs/>
                <w:color w:val="auto"/>
                <w:kern w:val="2"/>
                <w:lang w:val="en-US"/>
              </w:rPr>
              <w:t>吸收性敷垫和可</w:t>
            </w:r>
            <w:proofErr w:type="gramEnd"/>
            <w:r w:rsidRPr="009C262D">
              <w:rPr>
                <w:rFonts w:asciiTheme="minorEastAsia" w:eastAsiaTheme="minorEastAsia" w:hAnsiTheme="minorEastAsia" w:hint="eastAsia"/>
                <w:bCs/>
                <w:color w:val="auto"/>
                <w:kern w:val="2"/>
                <w:lang w:val="en-US"/>
              </w:rPr>
              <w:t>剥离的保护层组成。其中</w:t>
            </w:r>
            <w:proofErr w:type="gramStart"/>
            <w:r w:rsidRPr="009C262D">
              <w:rPr>
                <w:rFonts w:asciiTheme="minorEastAsia" w:eastAsiaTheme="minorEastAsia" w:hAnsiTheme="minorEastAsia" w:hint="eastAsia"/>
                <w:bCs/>
                <w:color w:val="auto"/>
                <w:kern w:val="2"/>
                <w:lang w:val="en-US"/>
              </w:rPr>
              <w:t>吸收性敷垫一般</w:t>
            </w:r>
            <w:proofErr w:type="gramEnd"/>
            <w:r w:rsidRPr="009C262D">
              <w:rPr>
                <w:rFonts w:asciiTheme="minorEastAsia" w:eastAsiaTheme="minorEastAsia" w:hAnsiTheme="minorEastAsia" w:hint="eastAsia"/>
                <w:bCs/>
                <w:color w:val="auto"/>
                <w:kern w:val="2"/>
                <w:lang w:val="en-US"/>
              </w:rPr>
              <w:t>采用棉纤维、无纺布等可吸收渗出液的材料制成。</w:t>
            </w:r>
            <w:proofErr w:type="gramStart"/>
            <w:r w:rsidRPr="009C262D">
              <w:rPr>
                <w:rFonts w:asciiTheme="minorEastAsia" w:eastAsiaTheme="minorEastAsia" w:hAnsiTheme="minorEastAsia" w:hint="eastAsia"/>
                <w:bCs/>
                <w:color w:val="auto"/>
                <w:kern w:val="2"/>
                <w:lang w:val="en-US"/>
              </w:rPr>
              <w:t>吸收性敷垫可</w:t>
            </w:r>
            <w:proofErr w:type="gramEnd"/>
            <w:r w:rsidRPr="009C262D">
              <w:rPr>
                <w:rFonts w:asciiTheme="minorEastAsia" w:eastAsiaTheme="minorEastAsia" w:hAnsiTheme="minorEastAsia" w:hint="eastAsia"/>
                <w:bCs/>
                <w:color w:val="auto"/>
                <w:kern w:val="2"/>
                <w:lang w:val="en-US"/>
              </w:rPr>
              <w:t>单独使用，用绷带或胶带等进行固定。所含成分不可被人体吸收。无菌提供，一次性使用。用于体表非慢性创面的护理。豁免情况不包括：（1）适应症宣称可以促进上皮化、引导组织再生、促进伤口愈合、减轻疼痛、抗菌、防感染、抗病毒、止血、溶解坏死组织、减少疤痕、防粘连、作为人工皮/皮肤替代物等作用的产品；（2）宣称可以用于体内伤口、三度烧伤、感染创面、坏死组织较多的创面、发生创面脓毒症的患者等情况的产品；（3）含有活性成分的产品：如药品/药用活性成分、生物制品/生物活性成分、银、消毒剂等；（4）其他新型产品,如新材料、新作用机理、新功能的产品。</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2019年发布的汇总目录中序号“641 创面敷贴”“642 一次性使用无菌敷贴”“643 创面敷贴（不可吸收外科敷料）”“645 伤口敷贴”合并，对产品描述进行了修订。</w:t>
            </w:r>
          </w:p>
        </w:tc>
      </w:tr>
      <w:tr w:rsidR="006C76C1" w:rsidRPr="009C262D" w:rsidTr="006C76C1">
        <w:trPr>
          <w:trHeight w:val="519"/>
        </w:trPr>
        <w:tc>
          <w:tcPr>
            <w:tcW w:w="779" w:type="dxa"/>
            <w:noWrap/>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63</w:t>
            </w:r>
          </w:p>
        </w:tc>
        <w:tc>
          <w:tcPr>
            <w:tcW w:w="1930" w:type="dxa"/>
            <w:vAlign w:val="center"/>
            <w:hideMark/>
          </w:tcPr>
          <w:p w:rsidR="00FF0DC9" w:rsidRPr="009C262D" w:rsidRDefault="00FF0DC9" w:rsidP="00FE7F24">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14-10-01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proofErr w:type="gramStart"/>
            <w:r w:rsidRPr="009C262D">
              <w:rPr>
                <w:rFonts w:asciiTheme="minorEastAsia" w:eastAsiaTheme="minorEastAsia" w:hAnsiTheme="minorEastAsia" w:hint="eastAsia"/>
                <w:bCs/>
                <w:color w:val="auto"/>
                <w:kern w:val="2"/>
                <w:lang w:val="en-US"/>
              </w:rPr>
              <w:t>固定贴</w:t>
            </w:r>
            <w:proofErr w:type="gramEnd"/>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对应《医疗器械分类目录》中14-10-01中的Ⅱ类产品。由背衬和粘胶剂等组成，一次性使用无菌产品。用于对穿刺器械（如导管）的穿刺部位的护理并固定穿刺器械或用于敷料的次级固定。豁免情况不包括：新型结构设计、新型作用机理、新预期用途、含活性成分等。</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在2019年发布的汇总目录中序号为644，对产品描述进行了修订。</w:t>
            </w:r>
          </w:p>
        </w:tc>
      </w:tr>
      <w:tr w:rsidR="006C76C1" w:rsidRPr="009C262D" w:rsidTr="006C76C1">
        <w:trPr>
          <w:trHeight w:val="778"/>
        </w:trPr>
        <w:tc>
          <w:tcPr>
            <w:tcW w:w="779" w:type="dxa"/>
            <w:noWrap/>
            <w:vAlign w:val="center"/>
            <w:hideMark/>
          </w:tcPr>
          <w:p w:rsidR="00FF0DC9" w:rsidRPr="009C262D" w:rsidRDefault="00FF0DC9" w:rsidP="009C262D">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lastRenderedPageBreak/>
              <w:t>64</w:t>
            </w:r>
          </w:p>
        </w:tc>
        <w:tc>
          <w:tcPr>
            <w:tcW w:w="1930" w:type="dxa"/>
            <w:vAlign w:val="center"/>
            <w:hideMark/>
          </w:tcPr>
          <w:p w:rsidR="00FF0DC9" w:rsidRPr="009C262D" w:rsidRDefault="00FF0DC9" w:rsidP="009C262D">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14-14-01</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防护口罩</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由一种或多种对病毒气溶胶、含病毒液体等具有隔离作用的面料加工而成的口罩。在呼吸气流下仍对病毒气溶胶、含病毒液体等具有屏障作用，且摘下时，口罩的外表面不与人体接触。戴在医疗机构与病毒物料接触的人员面部，用于防止来自患者的病毒向医务人员传播。符合GB 19083-2010要求。豁免情况不包括：抗菌、抗病毒等新功能，新作用机理，新材料等。</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在2019年发布的汇总目录中序号为667，对分类编码、产品名称和产品描述进行了修订。</w:t>
            </w:r>
          </w:p>
        </w:tc>
      </w:tr>
      <w:tr w:rsidR="006C76C1" w:rsidRPr="009C262D" w:rsidTr="006C76C1">
        <w:trPr>
          <w:trHeight w:val="778"/>
        </w:trPr>
        <w:tc>
          <w:tcPr>
            <w:tcW w:w="779" w:type="dxa"/>
            <w:noWrap/>
            <w:vAlign w:val="center"/>
            <w:hideMark/>
          </w:tcPr>
          <w:p w:rsidR="00FF0DC9" w:rsidRPr="009C262D" w:rsidRDefault="00FF0DC9" w:rsidP="009C262D">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65</w:t>
            </w:r>
          </w:p>
        </w:tc>
        <w:tc>
          <w:tcPr>
            <w:tcW w:w="1930" w:type="dxa"/>
            <w:vAlign w:val="center"/>
            <w:hideMark/>
          </w:tcPr>
          <w:p w:rsidR="00FF0DC9" w:rsidRPr="009C262D" w:rsidRDefault="00FF0DC9" w:rsidP="009C262D">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17-06-04</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定制式固定义齿</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定制式固定义齿由固位体、桥体和连接体组成，包括冠、桥、贴面、嵌体、</w:t>
            </w:r>
            <w:proofErr w:type="gramStart"/>
            <w:r w:rsidRPr="009C262D">
              <w:rPr>
                <w:rFonts w:asciiTheme="minorEastAsia" w:eastAsiaTheme="minorEastAsia" w:hAnsiTheme="minorEastAsia" w:hint="eastAsia"/>
                <w:bCs/>
                <w:color w:val="auto"/>
                <w:kern w:val="2"/>
                <w:lang w:val="en-US"/>
              </w:rPr>
              <w:t>桩核等</w:t>
            </w:r>
            <w:proofErr w:type="gramEnd"/>
            <w:r w:rsidRPr="009C262D">
              <w:rPr>
                <w:rFonts w:asciiTheme="minorEastAsia" w:eastAsiaTheme="minorEastAsia" w:hAnsiTheme="minorEastAsia" w:hint="eastAsia"/>
                <w:bCs/>
                <w:color w:val="auto"/>
                <w:kern w:val="2"/>
                <w:lang w:val="en-US"/>
              </w:rPr>
              <w:t>结构；主要应用金属、氧化锆、陶瓷、光固化聚合树脂、瓷粉、聚醚醚酮等适用材料制成。用于牙体、牙列缺失、缺损的固定修复。制作过程中所使用的医疗器械材料全部为具有注册证的材料。豁免情况不包括定制式种植体附件、基台及与已上市产品材料、技术、设计或作用机理、功能等不同的产品。</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在2019年发布的汇总目录中序号为810，对产品描述进行了修订。</w:t>
            </w:r>
          </w:p>
        </w:tc>
      </w:tr>
      <w:tr w:rsidR="006C76C1" w:rsidRPr="009C262D" w:rsidTr="006C76C1">
        <w:trPr>
          <w:trHeight w:val="907"/>
        </w:trPr>
        <w:tc>
          <w:tcPr>
            <w:tcW w:w="779" w:type="dxa"/>
            <w:noWrap/>
            <w:vAlign w:val="center"/>
            <w:hideMark/>
          </w:tcPr>
          <w:p w:rsidR="00FF0DC9" w:rsidRPr="009C262D" w:rsidRDefault="00FF0DC9" w:rsidP="009C262D">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66</w:t>
            </w:r>
          </w:p>
        </w:tc>
        <w:tc>
          <w:tcPr>
            <w:tcW w:w="1930" w:type="dxa"/>
            <w:vAlign w:val="center"/>
            <w:hideMark/>
          </w:tcPr>
          <w:p w:rsidR="00FF0DC9" w:rsidRPr="009C262D" w:rsidRDefault="00FF0DC9" w:rsidP="009C262D">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17-06-04</w:t>
            </w:r>
          </w:p>
        </w:tc>
        <w:tc>
          <w:tcPr>
            <w:tcW w:w="2490"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定制式活动义齿</w:t>
            </w:r>
          </w:p>
        </w:tc>
        <w:tc>
          <w:tcPr>
            <w:tcW w:w="7409" w:type="dxa"/>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定制式活动义齿可分为局部义齿和全口义齿两类，局部义齿由人工牙、基托和卡环构成，全口义齿由人工牙和基托构成；活动义齿采用合金、聚醚醚酮、义齿基托聚合物、合成树脂牙制成。用于牙列缺损、缺失的活动修复。制作过程中所使用的医疗器械材料全部为具有注册证的材料。豁免情况除基台与修复体接触面（即</w:t>
            </w:r>
            <w:proofErr w:type="gramStart"/>
            <w:r w:rsidRPr="009C262D">
              <w:rPr>
                <w:rFonts w:asciiTheme="minorEastAsia" w:eastAsiaTheme="minorEastAsia" w:hAnsiTheme="minorEastAsia" w:hint="eastAsia"/>
                <w:bCs/>
                <w:color w:val="auto"/>
                <w:kern w:val="2"/>
                <w:lang w:val="en-US"/>
              </w:rPr>
              <w:t>龈</w:t>
            </w:r>
            <w:proofErr w:type="gramEnd"/>
            <w:r w:rsidRPr="009C262D">
              <w:rPr>
                <w:rFonts w:asciiTheme="minorEastAsia" w:eastAsiaTheme="minorEastAsia" w:hAnsiTheme="minorEastAsia" w:hint="eastAsia"/>
                <w:bCs/>
                <w:color w:val="auto"/>
                <w:kern w:val="2"/>
                <w:lang w:val="en-US"/>
              </w:rPr>
              <w:t>上部分）研磨外，不包括定制式种植体附件、基台</w:t>
            </w:r>
            <w:proofErr w:type="gramStart"/>
            <w:r w:rsidRPr="009C262D">
              <w:rPr>
                <w:rFonts w:asciiTheme="minorEastAsia" w:eastAsiaTheme="minorEastAsia" w:hAnsiTheme="minorEastAsia" w:hint="eastAsia"/>
                <w:bCs/>
                <w:color w:val="auto"/>
                <w:kern w:val="2"/>
                <w:lang w:val="en-US"/>
              </w:rPr>
              <w:t>龈</w:t>
            </w:r>
            <w:proofErr w:type="gramEnd"/>
            <w:r w:rsidRPr="009C262D">
              <w:rPr>
                <w:rFonts w:asciiTheme="minorEastAsia" w:eastAsiaTheme="minorEastAsia" w:hAnsiTheme="minorEastAsia" w:hint="eastAsia"/>
                <w:bCs/>
                <w:color w:val="auto"/>
                <w:kern w:val="2"/>
                <w:lang w:val="en-US"/>
              </w:rPr>
              <w:t>下部分加工及与已上市产品材料、技术、设计或作用机理、功能等不同的产品。</w:t>
            </w:r>
          </w:p>
        </w:tc>
        <w:tc>
          <w:tcPr>
            <w:tcW w:w="1323" w:type="dxa"/>
            <w:vAlign w:val="center"/>
            <w:hideMark/>
          </w:tcPr>
          <w:p w:rsidR="00FF0DC9" w:rsidRPr="009C262D" w:rsidRDefault="00FF0DC9" w:rsidP="00C3300A">
            <w:pPr>
              <w:jc w:val="cente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Ⅱ</w:t>
            </w:r>
          </w:p>
        </w:tc>
        <w:tc>
          <w:tcPr>
            <w:tcW w:w="1589" w:type="dxa"/>
            <w:vAlign w:val="center"/>
            <w:hideMark/>
          </w:tcPr>
          <w:p w:rsidR="00FF0DC9" w:rsidRPr="009C262D" w:rsidRDefault="00FF0DC9" w:rsidP="00C3300A">
            <w:pPr>
              <w:rPr>
                <w:rFonts w:asciiTheme="minorEastAsia" w:eastAsiaTheme="minorEastAsia" w:hAnsiTheme="minorEastAsia"/>
                <w:bCs/>
                <w:color w:val="auto"/>
                <w:kern w:val="2"/>
                <w:lang w:val="en-US"/>
              </w:rPr>
            </w:pPr>
            <w:r w:rsidRPr="009C262D">
              <w:rPr>
                <w:rFonts w:asciiTheme="minorEastAsia" w:eastAsiaTheme="minorEastAsia" w:hAnsiTheme="minorEastAsia" w:hint="eastAsia"/>
                <w:bCs/>
                <w:color w:val="auto"/>
                <w:kern w:val="2"/>
                <w:lang w:val="en-US"/>
              </w:rPr>
              <w:t>在2019年发布的汇总目录中序号为811，对产品描述进行了修订。</w:t>
            </w:r>
          </w:p>
        </w:tc>
      </w:tr>
    </w:tbl>
    <w:p w:rsidR="00F530E4" w:rsidRDefault="00F530E4" w:rsidP="00E379ED">
      <w:pPr>
        <w:rPr>
          <w:rFonts w:asciiTheme="minorEastAsia" w:eastAsiaTheme="minorEastAsia" w:hAnsiTheme="minorEastAsia"/>
          <w:color w:val="auto"/>
          <w:kern w:val="2"/>
          <w:lang w:val="en-US" w:bidi="ar-SA"/>
        </w:rPr>
      </w:pPr>
    </w:p>
    <w:p w:rsidR="00E379ED" w:rsidRDefault="00E379ED" w:rsidP="00E379ED">
      <w:pPr>
        <w:rPr>
          <w:rFonts w:asciiTheme="minorEastAsia" w:eastAsiaTheme="minorEastAsia" w:hAnsiTheme="minorEastAsia"/>
          <w:color w:val="auto"/>
          <w:kern w:val="2"/>
          <w:lang w:val="en-US" w:bidi="ar-SA"/>
        </w:rPr>
      </w:pPr>
    </w:p>
    <w:p w:rsidR="00E379ED" w:rsidRDefault="00E379ED" w:rsidP="00E379ED">
      <w:pPr>
        <w:rPr>
          <w:rFonts w:asciiTheme="minorEastAsia" w:eastAsiaTheme="minorEastAsia" w:hAnsiTheme="minorEastAsia"/>
          <w:color w:val="auto"/>
          <w:kern w:val="2"/>
          <w:lang w:val="en-US" w:bidi="ar-SA"/>
        </w:rPr>
      </w:pPr>
    </w:p>
    <w:p w:rsidR="00E379ED" w:rsidRDefault="00E379ED" w:rsidP="00E379ED">
      <w:pPr>
        <w:rPr>
          <w:rFonts w:asciiTheme="minorEastAsia" w:eastAsiaTheme="minorEastAsia" w:hAnsiTheme="minorEastAsia"/>
          <w:color w:val="auto"/>
          <w:kern w:val="2"/>
          <w:lang w:val="en-US" w:bidi="ar-SA"/>
        </w:rPr>
      </w:pPr>
    </w:p>
    <w:p w:rsidR="00E379ED" w:rsidRDefault="00E379ED" w:rsidP="00E379ED">
      <w:pPr>
        <w:rPr>
          <w:rFonts w:asciiTheme="minorEastAsia" w:eastAsiaTheme="minorEastAsia" w:hAnsiTheme="minorEastAsia"/>
          <w:color w:val="auto"/>
          <w:kern w:val="2"/>
          <w:lang w:val="en-US" w:bidi="ar-SA"/>
        </w:rPr>
      </w:pPr>
    </w:p>
    <w:p w:rsidR="00E379ED" w:rsidRDefault="00E379ED" w:rsidP="00E379ED">
      <w:pPr>
        <w:rPr>
          <w:rFonts w:asciiTheme="minorEastAsia" w:eastAsiaTheme="minorEastAsia" w:hAnsiTheme="minorEastAsia"/>
          <w:color w:val="auto"/>
          <w:kern w:val="2"/>
          <w:lang w:val="en-US" w:bidi="ar-SA"/>
        </w:rPr>
      </w:pPr>
    </w:p>
    <w:p w:rsidR="00E379ED" w:rsidRDefault="00E379ED" w:rsidP="00E379ED">
      <w:pPr>
        <w:rPr>
          <w:rFonts w:asciiTheme="minorEastAsia" w:eastAsiaTheme="minorEastAsia" w:hAnsiTheme="minorEastAsia"/>
          <w:color w:val="auto"/>
          <w:kern w:val="2"/>
          <w:lang w:val="en-US" w:bidi="ar-SA"/>
        </w:rPr>
      </w:pPr>
      <w:bookmarkStart w:id="1" w:name="_GoBack"/>
      <w:bookmarkEnd w:id="1"/>
    </w:p>
    <w:sectPr w:rsidR="00E379ED" w:rsidSect="006C76C1">
      <w:pgSz w:w="16838" w:h="11906" w:orient="landscape"/>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37" w:rsidRDefault="007D5237" w:rsidP="0048546E">
      <w:r>
        <w:separator/>
      </w:r>
    </w:p>
  </w:endnote>
  <w:endnote w:type="continuationSeparator" w:id="0">
    <w:p w:rsidR="007D5237" w:rsidRDefault="007D5237" w:rsidP="0048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37" w:rsidRDefault="007D5237" w:rsidP="0048546E">
      <w:r>
        <w:separator/>
      </w:r>
    </w:p>
  </w:footnote>
  <w:footnote w:type="continuationSeparator" w:id="0">
    <w:p w:rsidR="007D5237" w:rsidRDefault="007D5237" w:rsidP="00485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C0511"/>
    <w:multiLevelType w:val="hybridMultilevel"/>
    <w:tmpl w:val="74F08AF2"/>
    <w:lvl w:ilvl="0" w:tplc="904AE88A">
      <w:start w:val="1"/>
      <w:numFmt w:val="japaneseCounting"/>
      <w:lvlText w:val="（%1）"/>
      <w:lvlJc w:val="left"/>
      <w:pPr>
        <w:ind w:left="600" w:hanging="60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D96583"/>
    <w:multiLevelType w:val="hybridMultilevel"/>
    <w:tmpl w:val="423EB4E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FE8CF8"/>
    <w:multiLevelType w:val="singleLevel"/>
    <w:tmpl w:val="59FE8CF8"/>
    <w:lvl w:ilvl="0">
      <w:start w:val="1"/>
      <w:numFmt w:val="decimal"/>
      <w:suff w:val="space"/>
      <w:lvlText w:val="%1、"/>
      <w:lvlJc w:val="left"/>
    </w:lvl>
  </w:abstractNum>
  <w:abstractNum w:abstractNumId="3">
    <w:nsid w:val="6CA95119"/>
    <w:multiLevelType w:val="hybridMultilevel"/>
    <w:tmpl w:val="423EB4E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EC2573"/>
    <w:multiLevelType w:val="singleLevel"/>
    <w:tmpl w:val="72EC2573"/>
    <w:lvl w:ilvl="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33"/>
    <w:rsid w:val="00085A08"/>
    <w:rsid w:val="000C2213"/>
    <w:rsid w:val="000C464E"/>
    <w:rsid w:val="000C4976"/>
    <w:rsid w:val="000F0C78"/>
    <w:rsid w:val="000F1AD3"/>
    <w:rsid w:val="0013388D"/>
    <w:rsid w:val="00140DF8"/>
    <w:rsid w:val="00140FCB"/>
    <w:rsid w:val="001562E5"/>
    <w:rsid w:val="00165FDA"/>
    <w:rsid w:val="00175038"/>
    <w:rsid w:val="001B5B20"/>
    <w:rsid w:val="00235A87"/>
    <w:rsid w:val="00240AE0"/>
    <w:rsid w:val="002462E4"/>
    <w:rsid w:val="00260891"/>
    <w:rsid w:val="00267A00"/>
    <w:rsid w:val="00274F0A"/>
    <w:rsid w:val="002C39CB"/>
    <w:rsid w:val="002E2C0C"/>
    <w:rsid w:val="00311CB8"/>
    <w:rsid w:val="00353AC6"/>
    <w:rsid w:val="0036732A"/>
    <w:rsid w:val="0038156B"/>
    <w:rsid w:val="003857DA"/>
    <w:rsid w:val="003A6E7F"/>
    <w:rsid w:val="003D673D"/>
    <w:rsid w:val="003D6B8C"/>
    <w:rsid w:val="003F20A0"/>
    <w:rsid w:val="003F4FC7"/>
    <w:rsid w:val="00414341"/>
    <w:rsid w:val="0043590C"/>
    <w:rsid w:val="0043599B"/>
    <w:rsid w:val="00461B33"/>
    <w:rsid w:val="00484A73"/>
    <w:rsid w:val="0048546E"/>
    <w:rsid w:val="004A7156"/>
    <w:rsid w:val="004B41C4"/>
    <w:rsid w:val="004C2EB8"/>
    <w:rsid w:val="0050468B"/>
    <w:rsid w:val="00562F32"/>
    <w:rsid w:val="005B2F3D"/>
    <w:rsid w:val="005C345E"/>
    <w:rsid w:val="005D0C3B"/>
    <w:rsid w:val="005E1D52"/>
    <w:rsid w:val="00620D58"/>
    <w:rsid w:val="006361F5"/>
    <w:rsid w:val="006552B8"/>
    <w:rsid w:val="006A2342"/>
    <w:rsid w:val="006C76C1"/>
    <w:rsid w:val="007076E1"/>
    <w:rsid w:val="007163E5"/>
    <w:rsid w:val="0074081A"/>
    <w:rsid w:val="007600AA"/>
    <w:rsid w:val="00774323"/>
    <w:rsid w:val="00777FF9"/>
    <w:rsid w:val="00790EA4"/>
    <w:rsid w:val="007D5237"/>
    <w:rsid w:val="0080503D"/>
    <w:rsid w:val="00885472"/>
    <w:rsid w:val="008C45E9"/>
    <w:rsid w:val="008C7EE6"/>
    <w:rsid w:val="008F0FD0"/>
    <w:rsid w:val="00905CE9"/>
    <w:rsid w:val="009176D1"/>
    <w:rsid w:val="00961270"/>
    <w:rsid w:val="00993C6B"/>
    <w:rsid w:val="009C262D"/>
    <w:rsid w:val="00A748FB"/>
    <w:rsid w:val="00AD1D73"/>
    <w:rsid w:val="00AD3DCB"/>
    <w:rsid w:val="00AE6370"/>
    <w:rsid w:val="00B218F2"/>
    <w:rsid w:val="00B63958"/>
    <w:rsid w:val="00B67825"/>
    <w:rsid w:val="00B8055B"/>
    <w:rsid w:val="00B80DCF"/>
    <w:rsid w:val="00B869C8"/>
    <w:rsid w:val="00BA1B8B"/>
    <w:rsid w:val="00BA4EC1"/>
    <w:rsid w:val="00BB37A0"/>
    <w:rsid w:val="00BB5B2A"/>
    <w:rsid w:val="00BC06E2"/>
    <w:rsid w:val="00BC7CE5"/>
    <w:rsid w:val="00BF1587"/>
    <w:rsid w:val="00BF242E"/>
    <w:rsid w:val="00C042F7"/>
    <w:rsid w:val="00C3300A"/>
    <w:rsid w:val="00C344C8"/>
    <w:rsid w:val="00C6418E"/>
    <w:rsid w:val="00CA4756"/>
    <w:rsid w:val="00CD57FE"/>
    <w:rsid w:val="00CF4A14"/>
    <w:rsid w:val="00D20CD2"/>
    <w:rsid w:val="00D636C9"/>
    <w:rsid w:val="00D94C85"/>
    <w:rsid w:val="00DC53C6"/>
    <w:rsid w:val="00DE07A6"/>
    <w:rsid w:val="00E059A7"/>
    <w:rsid w:val="00E110B6"/>
    <w:rsid w:val="00E379ED"/>
    <w:rsid w:val="00E5518B"/>
    <w:rsid w:val="00E55242"/>
    <w:rsid w:val="00E740D5"/>
    <w:rsid w:val="00EA7FD5"/>
    <w:rsid w:val="00EB05D3"/>
    <w:rsid w:val="00EF069F"/>
    <w:rsid w:val="00EF2901"/>
    <w:rsid w:val="00F525CA"/>
    <w:rsid w:val="00F530E4"/>
    <w:rsid w:val="00F60A26"/>
    <w:rsid w:val="00F67928"/>
    <w:rsid w:val="00FB2381"/>
    <w:rsid w:val="00FE7F24"/>
    <w:rsid w:val="00FF0DC9"/>
    <w:rsid w:val="00FF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eastAsia="Times New Roman" w:hAnsi="Times New Roman" w:cs="Times New Roman"/>
      <w:color w:val="000000"/>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rFonts w:ascii="Calibri" w:eastAsia="宋体" w:hAnsi="Calibri" w:cs="宋体"/>
      <w:color w:val="auto"/>
      <w:kern w:val="2"/>
      <w:sz w:val="18"/>
      <w:szCs w:val="18"/>
      <w:lang w:val="en-US" w:bidi="ar-SA"/>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pPr>
    <w:rPr>
      <w:rFonts w:ascii="Calibri" w:eastAsia="宋体" w:hAnsi="Calibri" w:cs="宋体"/>
      <w:color w:val="auto"/>
      <w:kern w:val="2"/>
      <w:sz w:val="18"/>
      <w:szCs w:val="18"/>
      <w:lang w:val="en-US" w:bidi="ar-SA"/>
    </w:rPr>
  </w:style>
  <w:style w:type="character" w:customStyle="1" w:styleId="Char0">
    <w:name w:val="页脚 Char"/>
    <w:basedOn w:val="a0"/>
    <w:link w:val="a4"/>
    <w:uiPriority w:val="99"/>
    <w:rPr>
      <w:sz w:val="18"/>
      <w:szCs w:val="18"/>
    </w:rPr>
  </w:style>
  <w:style w:type="paragraph" w:styleId="a5">
    <w:name w:val="List Paragraph"/>
    <w:basedOn w:val="a"/>
    <w:uiPriority w:val="34"/>
    <w:qFormat/>
    <w:rsid w:val="002C39CB"/>
    <w:pPr>
      <w:ind w:firstLineChars="200" w:firstLine="420"/>
    </w:pPr>
  </w:style>
  <w:style w:type="table" w:styleId="a6">
    <w:name w:val="Table Grid"/>
    <w:basedOn w:val="a1"/>
    <w:uiPriority w:val="59"/>
    <w:rsid w:val="00FF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Intense Reference"/>
    <w:basedOn w:val="a0"/>
    <w:uiPriority w:val="32"/>
    <w:qFormat/>
    <w:rsid w:val="005E1D52"/>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eastAsia="Times New Roman" w:hAnsi="Times New Roman" w:cs="Times New Roman"/>
      <w:color w:val="000000"/>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rFonts w:ascii="Calibri" w:eastAsia="宋体" w:hAnsi="Calibri" w:cs="宋体"/>
      <w:color w:val="auto"/>
      <w:kern w:val="2"/>
      <w:sz w:val="18"/>
      <w:szCs w:val="18"/>
      <w:lang w:val="en-US" w:bidi="ar-SA"/>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pPr>
    <w:rPr>
      <w:rFonts w:ascii="Calibri" w:eastAsia="宋体" w:hAnsi="Calibri" w:cs="宋体"/>
      <w:color w:val="auto"/>
      <w:kern w:val="2"/>
      <w:sz w:val="18"/>
      <w:szCs w:val="18"/>
      <w:lang w:val="en-US" w:bidi="ar-SA"/>
    </w:rPr>
  </w:style>
  <w:style w:type="character" w:customStyle="1" w:styleId="Char0">
    <w:name w:val="页脚 Char"/>
    <w:basedOn w:val="a0"/>
    <w:link w:val="a4"/>
    <w:uiPriority w:val="99"/>
    <w:rPr>
      <w:sz w:val="18"/>
      <w:szCs w:val="18"/>
    </w:rPr>
  </w:style>
  <w:style w:type="paragraph" w:styleId="a5">
    <w:name w:val="List Paragraph"/>
    <w:basedOn w:val="a"/>
    <w:uiPriority w:val="34"/>
    <w:qFormat/>
    <w:rsid w:val="002C39CB"/>
    <w:pPr>
      <w:ind w:firstLineChars="200" w:firstLine="420"/>
    </w:pPr>
  </w:style>
  <w:style w:type="table" w:styleId="a6">
    <w:name w:val="Table Grid"/>
    <w:basedOn w:val="a1"/>
    <w:uiPriority w:val="59"/>
    <w:rsid w:val="00FF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Intense Reference"/>
    <w:basedOn w:val="a0"/>
    <w:uiPriority w:val="32"/>
    <w:qFormat/>
    <w:rsid w:val="005E1D52"/>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0038">
      <w:bodyDiv w:val="1"/>
      <w:marLeft w:val="0"/>
      <w:marRight w:val="0"/>
      <w:marTop w:val="0"/>
      <w:marBottom w:val="0"/>
      <w:divBdr>
        <w:top w:val="none" w:sz="0" w:space="0" w:color="auto"/>
        <w:left w:val="none" w:sz="0" w:space="0" w:color="auto"/>
        <w:bottom w:val="none" w:sz="0" w:space="0" w:color="auto"/>
        <w:right w:val="none" w:sz="0" w:space="0" w:color="auto"/>
      </w:divBdr>
    </w:div>
    <w:div w:id="2061395828">
      <w:bodyDiv w:val="1"/>
      <w:marLeft w:val="0"/>
      <w:marRight w:val="0"/>
      <w:marTop w:val="0"/>
      <w:marBottom w:val="0"/>
      <w:divBdr>
        <w:top w:val="none" w:sz="0" w:space="0" w:color="auto"/>
        <w:left w:val="none" w:sz="0" w:space="0" w:color="auto"/>
        <w:bottom w:val="none" w:sz="0" w:space="0" w:color="auto"/>
        <w:right w:val="none" w:sz="0" w:space="0" w:color="auto"/>
      </w:divBdr>
    </w:div>
    <w:div w:id="210418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gfzfh-2</dc:creator>
  <cp:lastModifiedBy>gfzfh-2</cp:lastModifiedBy>
  <cp:revision>3</cp:revision>
  <dcterms:created xsi:type="dcterms:W3CDTF">2020-08-14T01:06:00Z</dcterms:created>
  <dcterms:modified xsi:type="dcterms:W3CDTF">2020-08-14T01:09:00Z</dcterms:modified>
</cp:coreProperties>
</file>