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9F9" w:rsidRDefault="00EF29F9" w:rsidP="00EF29F9">
      <w:pPr>
        <w:rPr>
          <w:rFonts w:ascii="黑体" w:eastAsia="黑体" w:hAnsi="华文仿宋"/>
          <w:sz w:val="32"/>
          <w:szCs w:val="32"/>
        </w:rPr>
      </w:pPr>
      <w:r w:rsidRPr="004A48F4">
        <w:rPr>
          <w:rFonts w:ascii="黑体" w:eastAsia="黑体" w:hAnsi="华文仿宋" w:hint="eastAsia"/>
          <w:sz w:val="32"/>
          <w:szCs w:val="32"/>
        </w:rPr>
        <w:t>附件</w:t>
      </w:r>
      <w:r>
        <w:rPr>
          <w:rFonts w:ascii="黑体" w:eastAsia="黑体" w:hAnsi="华文仿宋" w:hint="eastAsia"/>
          <w:sz w:val="32"/>
          <w:szCs w:val="32"/>
        </w:rPr>
        <w:t>1</w:t>
      </w:r>
    </w:p>
    <w:p w:rsidR="00EF29F9" w:rsidRPr="00562D54" w:rsidRDefault="00EF29F9" w:rsidP="00EF29F9">
      <w:pPr>
        <w:jc w:val="center"/>
        <w:rPr>
          <w:rFonts w:ascii="方正小标宋简体" w:eastAsia="方正小标宋简体"/>
          <w:kern w:val="0"/>
          <w:sz w:val="32"/>
          <w:szCs w:val="32"/>
        </w:rPr>
      </w:pPr>
    </w:p>
    <w:p w:rsidR="00EF29F9" w:rsidRPr="004A48F4" w:rsidRDefault="00EF29F9" w:rsidP="00EF29F9">
      <w:pPr>
        <w:jc w:val="center"/>
        <w:rPr>
          <w:rFonts w:ascii="黑体" w:eastAsia="黑体" w:hAnsi="华文仿宋"/>
          <w:sz w:val="32"/>
          <w:szCs w:val="32"/>
        </w:rPr>
      </w:pPr>
      <w:r w:rsidRPr="007E720E">
        <w:rPr>
          <w:rFonts w:ascii="方正小标宋简体" w:eastAsia="方正小标宋简体" w:hint="eastAsia"/>
          <w:kern w:val="0"/>
          <w:sz w:val="44"/>
          <w:szCs w:val="44"/>
        </w:rPr>
        <w:t>国家食品药品监督管理总局第二批继续有效的规范性文件目录</w:t>
      </w:r>
      <w:r w:rsidRPr="007E720E">
        <w:rPr>
          <w:rFonts w:ascii="宋体" w:hAnsi="宋体" w:hint="eastAsia"/>
          <w:kern w:val="0"/>
          <w:sz w:val="48"/>
          <w:szCs w:val="48"/>
        </w:rPr>
        <w:br/>
      </w:r>
      <w:r w:rsidRPr="007E720E">
        <w:rPr>
          <w:rFonts w:ascii="楷体_GB2312" w:eastAsia="楷体_GB2312" w:hint="eastAsia"/>
          <w:kern w:val="0"/>
          <w:sz w:val="32"/>
          <w:szCs w:val="32"/>
        </w:rPr>
        <w:t>（</w:t>
      </w:r>
      <w:r w:rsidRPr="007E720E">
        <w:rPr>
          <w:kern w:val="0"/>
          <w:sz w:val="32"/>
          <w:szCs w:val="32"/>
        </w:rPr>
        <w:t>2013</w:t>
      </w:r>
      <w:r w:rsidRPr="007E720E">
        <w:rPr>
          <w:rFonts w:ascii="楷体_GB2312" w:eastAsia="楷体_GB2312" w:hint="eastAsia"/>
          <w:kern w:val="0"/>
          <w:sz w:val="32"/>
          <w:szCs w:val="32"/>
        </w:rPr>
        <w:t>年</w:t>
      </w:r>
      <w:r w:rsidRPr="007E720E">
        <w:rPr>
          <w:kern w:val="0"/>
          <w:sz w:val="32"/>
          <w:szCs w:val="32"/>
        </w:rPr>
        <w:t>4</w:t>
      </w:r>
      <w:r w:rsidRPr="007E720E">
        <w:rPr>
          <w:rFonts w:ascii="楷体_GB2312" w:eastAsia="楷体_GB2312" w:hint="eastAsia"/>
          <w:kern w:val="0"/>
          <w:sz w:val="32"/>
          <w:szCs w:val="32"/>
        </w:rPr>
        <w:t>月</w:t>
      </w:r>
      <w:r w:rsidRPr="007E720E">
        <w:rPr>
          <w:kern w:val="0"/>
          <w:sz w:val="32"/>
          <w:szCs w:val="32"/>
        </w:rPr>
        <w:t>1</w:t>
      </w:r>
      <w:r w:rsidRPr="007E720E">
        <w:rPr>
          <w:rFonts w:ascii="楷体_GB2312" w:eastAsia="楷体_GB2312" w:hint="eastAsia"/>
          <w:kern w:val="0"/>
          <w:sz w:val="32"/>
          <w:szCs w:val="32"/>
        </w:rPr>
        <w:t>日</w:t>
      </w:r>
      <w:r w:rsidRPr="007E720E">
        <w:rPr>
          <w:kern w:val="0"/>
          <w:sz w:val="32"/>
          <w:szCs w:val="32"/>
        </w:rPr>
        <w:t>—2015</w:t>
      </w:r>
      <w:r w:rsidRPr="007E720E">
        <w:rPr>
          <w:rFonts w:ascii="楷体_GB2312" w:eastAsia="楷体_GB2312" w:hint="eastAsia"/>
          <w:kern w:val="0"/>
          <w:sz w:val="32"/>
          <w:szCs w:val="32"/>
        </w:rPr>
        <w:t>年</w:t>
      </w:r>
      <w:r w:rsidRPr="007E720E">
        <w:rPr>
          <w:kern w:val="0"/>
          <w:sz w:val="32"/>
          <w:szCs w:val="32"/>
        </w:rPr>
        <w:t>12</w:t>
      </w:r>
      <w:r w:rsidRPr="007E720E">
        <w:rPr>
          <w:rFonts w:ascii="楷体_GB2312" w:eastAsia="楷体_GB2312" w:hint="eastAsia"/>
          <w:kern w:val="0"/>
          <w:sz w:val="32"/>
          <w:szCs w:val="32"/>
        </w:rPr>
        <w:t>月</w:t>
      </w:r>
      <w:r w:rsidRPr="007E720E">
        <w:rPr>
          <w:kern w:val="0"/>
          <w:sz w:val="32"/>
          <w:szCs w:val="32"/>
        </w:rPr>
        <w:t>31</w:t>
      </w:r>
      <w:r w:rsidRPr="007E720E">
        <w:rPr>
          <w:rFonts w:ascii="楷体_GB2312" w:eastAsia="楷体_GB2312" w:hint="eastAsia"/>
          <w:kern w:val="0"/>
          <w:sz w:val="32"/>
          <w:szCs w:val="32"/>
        </w:rPr>
        <w:t>日）</w:t>
      </w:r>
    </w:p>
    <w:tbl>
      <w:tblPr>
        <w:tblW w:w="5000" w:type="pct"/>
        <w:tblLook w:val="04A0"/>
      </w:tblPr>
      <w:tblGrid>
        <w:gridCol w:w="1024"/>
        <w:gridCol w:w="1216"/>
        <w:gridCol w:w="4816"/>
        <w:gridCol w:w="1848"/>
        <w:gridCol w:w="1664"/>
        <w:gridCol w:w="1809"/>
        <w:gridCol w:w="1797"/>
      </w:tblGrid>
      <w:tr w:rsidR="00EF29F9" w:rsidRPr="007E720E" w:rsidTr="001C5869">
        <w:trPr>
          <w:trHeight w:val="680"/>
          <w:tblHeader/>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黑体" w:eastAsia="黑体" w:hAnsi="黑体" w:cs="宋体"/>
                <w:kern w:val="0"/>
                <w:sz w:val="28"/>
                <w:szCs w:val="28"/>
              </w:rPr>
            </w:pPr>
            <w:r w:rsidRPr="007E720E">
              <w:rPr>
                <w:rFonts w:ascii="黑体" w:eastAsia="黑体" w:hAnsi="黑体" w:cs="宋体" w:hint="eastAsia"/>
                <w:kern w:val="0"/>
                <w:sz w:val="28"/>
                <w:szCs w:val="28"/>
              </w:rPr>
              <w:t>序号</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黑体" w:eastAsia="黑体" w:hAnsi="黑体" w:cs="宋体"/>
                <w:kern w:val="0"/>
                <w:sz w:val="28"/>
                <w:szCs w:val="28"/>
              </w:rPr>
            </w:pPr>
            <w:r w:rsidRPr="007E720E">
              <w:rPr>
                <w:rFonts w:ascii="黑体" w:eastAsia="黑体" w:hAnsi="黑体" w:cs="宋体" w:hint="eastAsia"/>
                <w:kern w:val="0"/>
                <w:sz w:val="28"/>
                <w:szCs w:val="28"/>
              </w:rPr>
              <w:t>分类</w:t>
            </w:r>
          </w:p>
        </w:tc>
        <w:tc>
          <w:tcPr>
            <w:tcW w:w="1699" w:type="pct"/>
            <w:tcBorders>
              <w:top w:val="single" w:sz="4" w:space="0" w:color="auto"/>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黑体" w:eastAsia="黑体" w:hAnsi="黑体" w:cs="宋体"/>
                <w:kern w:val="0"/>
                <w:sz w:val="28"/>
                <w:szCs w:val="28"/>
              </w:rPr>
            </w:pPr>
            <w:r w:rsidRPr="007E720E">
              <w:rPr>
                <w:rFonts w:ascii="黑体" w:eastAsia="黑体" w:hAnsi="黑体" w:cs="宋体" w:hint="eastAsia"/>
                <w:kern w:val="0"/>
                <w:sz w:val="28"/>
                <w:szCs w:val="28"/>
              </w:rPr>
              <w:t>文件名</w:t>
            </w:r>
          </w:p>
        </w:tc>
        <w:tc>
          <w:tcPr>
            <w:tcW w:w="652" w:type="pct"/>
            <w:tcBorders>
              <w:top w:val="single" w:sz="4" w:space="0" w:color="auto"/>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黑体" w:eastAsia="黑体" w:hAnsi="黑体" w:cs="宋体"/>
                <w:kern w:val="0"/>
                <w:sz w:val="28"/>
                <w:szCs w:val="28"/>
              </w:rPr>
            </w:pPr>
            <w:r w:rsidRPr="007E720E">
              <w:rPr>
                <w:rFonts w:ascii="黑体" w:eastAsia="黑体" w:hAnsi="黑体" w:cs="宋体" w:hint="eastAsia"/>
                <w:kern w:val="0"/>
                <w:sz w:val="28"/>
                <w:szCs w:val="28"/>
              </w:rPr>
              <w:t>文 号</w:t>
            </w:r>
          </w:p>
        </w:tc>
        <w:tc>
          <w:tcPr>
            <w:tcW w:w="587" w:type="pct"/>
            <w:tcBorders>
              <w:top w:val="single" w:sz="4" w:space="0" w:color="auto"/>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黑体" w:eastAsia="黑体" w:hAnsi="黑体" w:cs="宋体"/>
                <w:kern w:val="0"/>
                <w:sz w:val="28"/>
                <w:szCs w:val="28"/>
              </w:rPr>
            </w:pPr>
            <w:r w:rsidRPr="007E720E">
              <w:rPr>
                <w:rFonts w:ascii="黑体" w:eastAsia="黑体" w:hAnsi="黑体" w:cs="宋体" w:hint="eastAsia"/>
                <w:kern w:val="0"/>
                <w:sz w:val="28"/>
                <w:szCs w:val="28"/>
              </w:rPr>
              <w:t>发文日期</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黑体" w:eastAsia="黑体" w:hAnsi="黑体" w:cs="宋体"/>
                <w:kern w:val="0"/>
                <w:sz w:val="28"/>
                <w:szCs w:val="28"/>
              </w:rPr>
            </w:pPr>
            <w:r w:rsidRPr="007E720E">
              <w:rPr>
                <w:rFonts w:ascii="黑体" w:eastAsia="黑体" w:hAnsi="黑体" w:cs="宋体" w:hint="eastAsia"/>
                <w:kern w:val="0"/>
                <w:sz w:val="28"/>
                <w:szCs w:val="28"/>
              </w:rPr>
              <w:t>清理意见</w:t>
            </w:r>
          </w:p>
        </w:tc>
        <w:tc>
          <w:tcPr>
            <w:tcW w:w="635" w:type="pct"/>
            <w:tcBorders>
              <w:top w:val="single" w:sz="4" w:space="0" w:color="auto"/>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黑体" w:eastAsia="黑体" w:hAnsi="黑体" w:cs="宋体"/>
                <w:kern w:val="0"/>
                <w:sz w:val="28"/>
                <w:szCs w:val="28"/>
              </w:rPr>
            </w:pPr>
            <w:r w:rsidRPr="007E720E">
              <w:rPr>
                <w:rFonts w:ascii="黑体" w:eastAsia="黑体" w:hAnsi="黑体" w:cs="宋体" w:hint="eastAsia"/>
                <w:kern w:val="0"/>
                <w:sz w:val="28"/>
                <w:szCs w:val="28"/>
              </w:rPr>
              <w:t>公开属性</w:t>
            </w:r>
          </w:p>
        </w:tc>
      </w:tr>
      <w:tr w:rsidR="00EF29F9" w:rsidRPr="007E720E" w:rsidTr="001C5869">
        <w:trPr>
          <w:trHeight w:val="93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7E720E">
              <w:rPr>
                <w:rFonts w:ascii="宋体" w:hAnsi="宋体" w:hint="eastAsia"/>
                <w:kern w:val="0"/>
                <w:sz w:val="22"/>
                <w:szCs w:val="22"/>
              </w:rPr>
              <w:t>国家食品药品监督管理总局办公厅关于胶囊产品实施生产许可问题的复函</w:t>
            </w:r>
          </w:p>
        </w:tc>
        <w:tc>
          <w:tcPr>
            <w:tcW w:w="652"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食药监办食监一函〔2013〕161号</w:t>
            </w:r>
          </w:p>
        </w:tc>
        <w:tc>
          <w:tcPr>
            <w:tcW w:w="587"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20130614</w:t>
            </w:r>
          </w:p>
        </w:tc>
        <w:tc>
          <w:tcPr>
            <w:tcW w:w="638"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918"/>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食品药品监管总局办公厅关于进一步做好禽类食品安全监管工作的通知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食药监办食监二〔2013〕115号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20131120</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89"/>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3</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食品药品监管总局办公厅关于进一步做好活禽和禽类食品安全监管工作的紧急通知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食药监办食监二〔2014〕23号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20140208</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90"/>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4</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食品药品监管总局办公厅关于船运食品流通许可和监管事项的复函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食药监办食监二函</w:t>
            </w:r>
            <w:r w:rsidRPr="00CE44E4">
              <w:rPr>
                <w:rFonts w:ascii="宋体" w:hAnsi="宋体"/>
                <w:kern w:val="0"/>
                <w:sz w:val="22"/>
                <w:szCs w:val="22"/>
              </w:rPr>
              <w:t>〔</w:t>
            </w:r>
            <w:r w:rsidRPr="00CE44E4">
              <w:rPr>
                <w:rFonts w:ascii="宋体" w:hAnsi="宋体" w:hint="eastAsia"/>
                <w:kern w:val="0"/>
                <w:sz w:val="22"/>
                <w:szCs w:val="22"/>
              </w:rPr>
              <w:t>2014</w:t>
            </w:r>
            <w:r w:rsidRPr="00CE44E4">
              <w:rPr>
                <w:rFonts w:ascii="宋体" w:hAnsi="宋体"/>
                <w:kern w:val="0"/>
                <w:sz w:val="22"/>
                <w:szCs w:val="22"/>
              </w:rPr>
              <w:t>〕</w:t>
            </w:r>
            <w:r w:rsidRPr="00CE44E4">
              <w:rPr>
                <w:rFonts w:ascii="宋体" w:hAnsi="宋体" w:hint="eastAsia"/>
                <w:kern w:val="0"/>
                <w:sz w:val="22"/>
                <w:szCs w:val="22"/>
              </w:rPr>
              <w:t>129号</w:t>
            </w:r>
          </w:p>
        </w:tc>
        <w:tc>
          <w:tcPr>
            <w:tcW w:w="587" w:type="pct"/>
            <w:tcBorders>
              <w:top w:val="nil"/>
              <w:left w:val="nil"/>
              <w:bottom w:val="single" w:sz="4" w:space="0" w:color="auto"/>
              <w:right w:val="single" w:sz="4" w:space="0" w:color="auto"/>
            </w:tcBorders>
            <w:shd w:val="clear" w:color="000000" w:fill="FFFFFF"/>
            <w:noWrap/>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20140314</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89"/>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5</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食品药品监管总局办公厅关于印发食品安全监督抽检和风险监测承检机构工作规定的通知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食药监办食监三〔2014〕70 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20140417</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lastRenderedPageBreak/>
              <w:t>6</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食品药品监管总局办公厅关于印发食品安全监督抽检和风险监测工作质量控制和管理考核方案的通知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食药监办食监三〔2014〕127号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20140701</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90"/>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7</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食品药品监管总局办公厅关于做好食品安全监督抽检信息公布工作的通知</w:t>
            </w:r>
          </w:p>
        </w:tc>
        <w:tc>
          <w:tcPr>
            <w:tcW w:w="652"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食药监办食监三〔2014〕183号</w:t>
            </w:r>
          </w:p>
        </w:tc>
        <w:tc>
          <w:tcPr>
            <w:tcW w:w="587"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20141008</w:t>
            </w:r>
          </w:p>
        </w:tc>
        <w:tc>
          <w:tcPr>
            <w:tcW w:w="638"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34"/>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8</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食品药品监管总局办公厅关于大豆多肽液产品生产许可问题的复函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食药监办食监一函〔2015〕114号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20150228</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917"/>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9</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食品药品监管总局关于贯彻实施《食品经营许可管理办法》的通知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食药监食监二〔2015〕226号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20150930</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76"/>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10</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食品药品监管总局办公厅关于印发食品生产许可有关文书及食品生产许可证格式的通知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食药监办食监一〔2015〕135号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20151008</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75"/>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11</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食品药品监管总局办公厅关于食用加工助剂过氧化氢有关问题的复函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食药监办食监一函〔2015〕609号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20151010</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90"/>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12</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食品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食品药品监管总局办公厅关于食品保质期有关问题的复函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食药监办食监二函〔2015〕628号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20151016</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13</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国家食品药品监督管理总局等部门关于印发打击网上非法售药行动工作方案的通知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食药监药化监〔2013〕123号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20130729</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63"/>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lastRenderedPageBreak/>
              <w:t>14</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国家食品药品监督管理总局办公厅关于原料药混合粉有关问题的复函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食药监办药化管函〔2013〕303号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20130807</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15</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食品药品监管总局办公厅关于中成药生产企业违法违规使用中药提取物生产药品有关问题的复函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食药监办药化监函〔2013〕399号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20131012</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16</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食品药品监管总局办公厅关于执行新修订药品生产质量管理规范有关事项的通知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食药监办药化监〔2013〕144号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20131231</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17</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食品药品监管总局办公厅关于发布药品技术转让审评评估工作有关要求的通知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食药监办药化管〔2014〕1号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20140103</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18</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食品药品监管总局办公厅关于药品零售企业销售米非司酮以外避孕处方药有关问题的复函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食监药办药化监函〔2014〕98号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20140224</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19</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食品药品监管总局办公厅关于宁养院用麻醉药品供应有关事宜的通知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食药监办药化监〔2014〕208号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20141222</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食品药品监管总局办公厅关于规范中药新药命名程序有关事项的通知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食药监办药化管函〔2015〕18号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20150113</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lastRenderedPageBreak/>
              <w:t>21</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食品药品监管总局办公厅关于进一步加强国家药品抽验管理工作的通知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食药监办药化监〔2015〕92号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20150706</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22</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7E720E">
              <w:rPr>
                <w:rFonts w:ascii="宋体" w:hAnsi="宋体" w:hint="eastAsia"/>
                <w:kern w:val="0"/>
                <w:sz w:val="22"/>
                <w:szCs w:val="22"/>
              </w:rPr>
              <w:t>食品药品监管总局关于进一步做好药物临床试验自查核查工作的通知</w:t>
            </w:r>
          </w:p>
        </w:tc>
        <w:tc>
          <w:tcPr>
            <w:tcW w:w="652"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食药监药化监〔2015〕163号</w:t>
            </w:r>
          </w:p>
        </w:tc>
        <w:tc>
          <w:tcPr>
            <w:tcW w:w="587"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20150821</w:t>
            </w:r>
          </w:p>
        </w:tc>
        <w:tc>
          <w:tcPr>
            <w:tcW w:w="638"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23</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食品药品监管总局关于印发食品药品监管总局药品上市审议办法（试行）的通知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食药监药化管〔2015〕260号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20151110</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24</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7E720E">
              <w:rPr>
                <w:rFonts w:ascii="宋体" w:hAnsi="宋体" w:hint="eastAsia"/>
                <w:kern w:val="0"/>
                <w:sz w:val="22"/>
                <w:szCs w:val="22"/>
              </w:rPr>
              <w:t>食品药品监管总局办公厅关于药品广告监测有关问题的复函</w:t>
            </w:r>
          </w:p>
        </w:tc>
        <w:tc>
          <w:tcPr>
            <w:tcW w:w="652"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食药监办稽函〔2015〕688号</w:t>
            </w:r>
          </w:p>
        </w:tc>
        <w:tc>
          <w:tcPr>
            <w:tcW w:w="587"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20151111</w:t>
            </w:r>
          </w:p>
        </w:tc>
        <w:tc>
          <w:tcPr>
            <w:tcW w:w="638"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25</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药品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食品药品监管总局关于天津市市场和质量监督管理委员会开展药品技术转让审评相关工作的批复</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食药监药化管函〔2015〕311号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20151128</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06"/>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26</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医疗器械</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国家食品药品监督管理总局办公厅关于医疗器械第三方物流监管问题的复函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食药监办械监函〔2013〕266号</w:t>
            </w:r>
          </w:p>
        </w:tc>
        <w:tc>
          <w:tcPr>
            <w:tcW w:w="587" w:type="pct"/>
            <w:tcBorders>
              <w:top w:val="nil"/>
              <w:left w:val="nil"/>
              <w:bottom w:val="single" w:sz="4" w:space="0" w:color="auto"/>
              <w:right w:val="single" w:sz="4" w:space="0" w:color="auto"/>
            </w:tcBorders>
            <w:shd w:val="clear" w:color="000000" w:fill="FFFFFF"/>
            <w:noWrap/>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20130725</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27</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医疗器械</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食品药品监管总局办公厅关于印发国家医疗器械抽查检验工作程序的通知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食药监办械监〔2014〕213号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20141231</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6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28</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医疗器械</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食品药品监管总局办公厅关于加强含银盐医疗器械监管工作的通知</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食药监办械管〔2015〕160号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20151113</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34"/>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lastRenderedPageBreak/>
              <w:t>29</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化妆品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食品药品监管总局关于化妆品标签标识相关法律适用问题的批复</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食药监稽函〔2014〕113号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20140716</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875"/>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30</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化妆品</w:t>
            </w:r>
          </w:p>
        </w:tc>
        <w:tc>
          <w:tcPr>
            <w:tcW w:w="1699"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7E720E">
              <w:rPr>
                <w:rFonts w:ascii="宋体" w:hAnsi="宋体" w:hint="eastAsia"/>
                <w:kern w:val="0"/>
                <w:sz w:val="22"/>
                <w:szCs w:val="22"/>
              </w:rPr>
              <w:t>食品药品监管总局办公厅关于暂缓启动进口非特殊用途化妆品行政许可职责下放的通知</w:t>
            </w:r>
          </w:p>
        </w:tc>
        <w:tc>
          <w:tcPr>
            <w:tcW w:w="652"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食药监办药化管〔2015〕45号</w:t>
            </w:r>
          </w:p>
        </w:tc>
        <w:tc>
          <w:tcPr>
            <w:tcW w:w="587"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20150330</w:t>
            </w:r>
          </w:p>
        </w:tc>
        <w:tc>
          <w:tcPr>
            <w:tcW w:w="638" w:type="pct"/>
            <w:tcBorders>
              <w:top w:val="nil"/>
              <w:left w:val="nil"/>
              <w:bottom w:val="single" w:sz="4" w:space="0" w:color="auto"/>
              <w:right w:val="single" w:sz="4" w:space="0" w:color="auto"/>
            </w:tcBorders>
            <w:shd w:val="clear" w:color="auto" w:fill="auto"/>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31</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化妆品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食品药品监管总局关于国产非特殊用途化妆品命名有关事宜的批复</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食药监药化管函〔2015〕71号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20150515</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32</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化妆品</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食品药品监管总局办公厅关于通过网上交易平台销售（代购）未经批准进口化妆品适用法律有关问题的复函</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食药监办稽函〔2015〕621号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20151015</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r w:rsidR="00EF29F9" w:rsidRPr="007E720E" w:rsidTr="001C5869">
        <w:trPr>
          <w:trHeight w:val="1002"/>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33</w:t>
            </w:r>
          </w:p>
        </w:tc>
        <w:tc>
          <w:tcPr>
            <w:tcW w:w="429"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综合</w:t>
            </w:r>
          </w:p>
        </w:tc>
        <w:tc>
          <w:tcPr>
            <w:tcW w:w="169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hint="eastAsia"/>
                <w:kern w:val="0"/>
                <w:sz w:val="22"/>
                <w:szCs w:val="22"/>
              </w:rPr>
              <w:t>食品药品监管总局关于对取消和下放行政审批事项加强事中事后监管的意见</w:t>
            </w:r>
          </w:p>
        </w:tc>
        <w:tc>
          <w:tcPr>
            <w:tcW w:w="652"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kern w:val="0"/>
                <w:sz w:val="22"/>
                <w:szCs w:val="22"/>
              </w:rPr>
            </w:pPr>
            <w:r w:rsidRPr="00CE44E4">
              <w:rPr>
                <w:rFonts w:ascii="宋体" w:hAnsi="宋体"/>
                <w:kern w:val="0"/>
                <w:sz w:val="22"/>
                <w:szCs w:val="22"/>
              </w:rPr>
              <w:t>食药监法〔2015〕65号</w:t>
            </w:r>
          </w:p>
        </w:tc>
        <w:tc>
          <w:tcPr>
            <w:tcW w:w="587"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kern w:val="0"/>
                <w:sz w:val="22"/>
                <w:szCs w:val="22"/>
              </w:rPr>
            </w:pPr>
            <w:r w:rsidRPr="007E720E">
              <w:rPr>
                <w:kern w:val="0"/>
                <w:sz w:val="22"/>
                <w:szCs w:val="22"/>
              </w:rPr>
              <w:t>20150609</w:t>
            </w:r>
          </w:p>
        </w:tc>
        <w:tc>
          <w:tcPr>
            <w:tcW w:w="638"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继续有效</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7E720E" w:rsidRDefault="00EF29F9" w:rsidP="001C5869">
            <w:pPr>
              <w:widowControl/>
              <w:spacing w:line="400" w:lineRule="exact"/>
              <w:jc w:val="center"/>
              <w:rPr>
                <w:rFonts w:ascii="宋体" w:hAnsi="宋体" w:cs="宋体"/>
                <w:kern w:val="0"/>
                <w:sz w:val="22"/>
                <w:szCs w:val="22"/>
              </w:rPr>
            </w:pPr>
            <w:r w:rsidRPr="007E720E">
              <w:rPr>
                <w:rFonts w:ascii="宋体" w:hAnsi="宋体" w:cs="宋体" w:hint="eastAsia"/>
                <w:kern w:val="0"/>
                <w:sz w:val="22"/>
                <w:szCs w:val="22"/>
              </w:rPr>
              <w:t>主动公开</w:t>
            </w:r>
          </w:p>
        </w:tc>
      </w:tr>
    </w:tbl>
    <w:p w:rsidR="003C6E47" w:rsidRPr="00EF29F9" w:rsidRDefault="003C6E47" w:rsidP="00DB6482">
      <w:pPr>
        <w:rPr>
          <w:rFonts w:ascii="仿宋" w:eastAsia="仿宋" w:hAnsi="仿宋"/>
          <w:sz w:val="28"/>
          <w:szCs w:val="28"/>
        </w:rPr>
      </w:pPr>
    </w:p>
    <w:sectPr w:rsidR="003C6E47" w:rsidRPr="00EF29F9" w:rsidSect="00DB6482">
      <w:footerReference w:type="even" r:id="rId6"/>
      <w:footerReference w:type="default" r:id="rId7"/>
      <w:pgSz w:w="16838" w:h="11906" w:orient="landscape"/>
      <w:pgMar w:top="1588" w:right="1440" w:bottom="1474"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7D6" w:rsidRDefault="005A67D6" w:rsidP="00EF29F9">
      <w:r>
        <w:separator/>
      </w:r>
    </w:p>
  </w:endnote>
  <w:endnote w:type="continuationSeparator" w:id="1">
    <w:p w:rsidR="005A67D6" w:rsidRDefault="005A67D6" w:rsidP="00EF29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F9" w:rsidRPr="00EF2985" w:rsidRDefault="00EF29F9">
    <w:pPr>
      <w:pStyle w:val="a4"/>
      <w:rPr>
        <w:sz w:val="28"/>
        <w:szCs w:val="28"/>
      </w:rPr>
    </w:pPr>
    <w:r w:rsidRPr="00EF2985">
      <w:rPr>
        <w:rFonts w:hint="eastAsia"/>
        <w:color w:val="FFFFFF"/>
        <w:sz w:val="28"/>
        <w:szCs w:val="28"/>
      </w:rPr>
      <w:t>—</w:t>
    </w:r>
    <w:r>
      <w:rPr>
        <w:rFonts w:hint="eastAsia"/>
        <w:sz w:val="28"/>
        <w:szCs w:val="28"/>
      </w:rPr>
      <w:t>—</w:t>
    </w:r>
    <w:r w:rsidR="008E4F21" w:rsidRPr="00EF2985">
      <w:rPr>
        <w:sz w:val="28"/>
        <w:szCs w:val="28"/>
      </w:rPr>
      <w:fldChar w:fldCharType="begin"/>
    </w:r>
    <w:r w:rsidRPr="00EF2985">
      <w:rPr>
        <w:sz w:val="28"/>
        <w:szCs w:val="28"/>
      </w:rPr>
      <w:instrText>PAGE   \* MERGEFORMAT</w:instrText>
    </w:r>
    <w:r w:rsidR="008E4F21" w:rsidRPr="00EF2985">
      <w:rPr>
        <w:sz w:val="28"/>
        <w:szCs w:val="28"/>
      </w:rPr>
      <w:fldChar w:fldCharType="separate"/>
    </w:r>
    <w:r w:rsidRPr="00354F93">
      <w:rPr>
        <w:noProof/>
        <w:sz w:val="28"/>
        <w:szCs w:val="28"/>
        <w:lang w:val="zh-CN"/>
      </w:rPr>
      <w:t>2</w:t>
    </w:r>
    <w:r w:rsidR="008E4F21" w:rsidRPr="00EF2985">
      <w:rPr>
        <w:sz w:val="28"/>
        <w:szCs w:val="28"/>
      </w:rPr>
      <w:fldChar w:fldCharType="end"/>
    </w:r>
    <w:r>
      <w:rPr>
        <w:rFonts w:hint="eastAsia"/>
        <w:sz w:val="28"/>
        <w:szCs w:val="28"/>
      </w:rPr>
      <w:t>—</w:t>
    </w:r>
  </w:p>
  <w:p w:rsidR="00EF29F9" w:rsidRDefault="00EF29F9"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F9" w:rsidRPr="00EF2985" w:rsidRDefault="00EF29F9" w:rsidP="00EF2985">
    <w:pPr>
      <w:pStyle w:val="a4"/>
      <w:wordWrap w:val="0"/>
      <w:jc w:val="right"/>
      <w:rPr>
        <w:sz w:val="28"/>
        <w:szCs w:val="28"/>
      </w:rPr>
    </w:pPr>
    <w:r>
      <w:rPr>
        <w:rFonts w:hint="eastAsia"/>
        <w:sz w:val="28"/>
        <w:szCs w:val="28"/>
      </w:rPr>
      <w:t>—</w:t>
    </w:r>
    <w:r w:rsidR="008E4F21" w:rsidRPr="00EF2985">
      <w:rPr>
        <w:sz w:val="28"/>
        <w:szCs w:val="28"/>
      </w:rPr>
      <w:fldChar w:fldCharType="begin"/>
    </w:r>
    <w:r w:rsidRPr="00EF2985">
      <w:rPr>
        <w:sz w:val="28"/>
        <w:szCs w:val="28"/>
      </w:rPr>
      <w:instrText>PAGE   \* MERGEFORMAT</w:instrText>
    </w:r>
    <w:r w:rsidR="008E4F21" w:rsidRPr="00EF2985">
      <w:rPr>
        <w:sz w:val="28"/>
        <w:szCs w:val="28"/>
      </w:rPr>
      <w:fldChar w:fldCharType="separate"/>
    </w:r>
    <w:r w:rsidR="00DB6482" w:rsidRPr="00DB6482">
      <w:rPr>
        <w:noProof/>
        <w:sz w:val="28"/>
        <w:szCs w:val="28"/>
        <w:lang w:val="zh-CN"/>
      </w:rPr>
      <w:t>-</w:t>
    </w:r>
    <w:r w:rsidR="00DB6482">
      <w:rPr>
        <w:noProof/>
        <w:sz w:val="28"/>
        <w:szCs w:val="28"/>
      </w:rPr>
      <w:t xml:space="preserve"> 1 -</w:t>
    </w:r>
    <w:r w:rsidR="008E4F21" w:rsidRPr="00EF2985">
      <w:rPr>
        <w:sz w:val="28"/>
        <w:szCs w:val="28"/>
      </w:rPr>
      <w:fldChar w:fldCharType="end"/>
    </w:r>
    <w:r>
      <w:rPr>
        <w:rFonts w:hint="eastAsia"/>
        <w:sz w:val="28"/>
        <w:szCs w:val="28"/>
      </w:rPr>
      <w:t>—</w:t>
    </w:r>
    <w:r w:rsidRPr="00EF2985">
      <w:rPr>
        <w:rFonts w:hint="eastAsia"/>
        <w:color w:val="FFFFFF"/>
        <w:sz w:val="28"/>
        <w:szCs w:val="28"/>
      </w:rPr>
      <w:t>—</w:t>
    </w:r>
  </w:p>
  <w:p w:rsidR="00EF29F9" w:rsidRDefault="00EF29F9"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7D6" w:rsidRDefault="005A67D6" w:rsidP="00EF29F9">
      <w:r>
        <w:separator/>
      </w:r>
    </w:p>
  </w:footnote>
  <w:footnote w:type="continuationSeparator" w:id="1">
    <w:p w:rsidR="005A67D6" w:rsidRDefault="005A67D6" w:rsidP="00EF29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891"/>
    <w:rsid w:val="00231891"/>
    <w:rsid w:val="00260AC9"/>
    <w:rsid w:val="003C6E47"/>
    <w:rsid w:val="005A67D6"/>
    <w:rsid w:val="008E4F21"/>
    <w:rsid w:val="00DB6482"/>
    <w:rsid w:val="00E11818"/>
    <w:rsid w:val="00EF29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29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29F9"/>
    <w:rPr>
      <w:sz w:val="18"/>
      <w:szCs w:val="18"/>
    </w:rPr>
  </w:style>
  <w:style w:type="paragraph" w:styleId="a4">
    <w:name w:val="footer"/>
    <w:basedOn w:val="a"/>
    <w:link w:val="Char0"/>
    <w:uiPriority w:val="99"/>
    <w:unhideWhenUsed/>
    <w:rsid w:val="00EF29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29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29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29F9"/>
    <w:rPr>
      <w:sz w:val="18"/>
      <w:szCs w:val="18"/>
    </w:rPr>
  </w:style>
  <w:style w:type="paragraph" w:styleId="a4">
    <w:name w:val="footer"/>
    <w:basedOn w:val="a"/>
    <w:link w:val="Char0"/>
    <w:uiPriority w:val="99"/>
    <w:unhideWhenUsed/>
    <w:rsid w:val="00EF29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29F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2267</Characters>
  <Application>Microsoft Office Word</Application>
  <DocSecurity>0</DocSecurity>
  <Lines>18</Lines>
  <Paragraphs>5</Paragraphs>
  <ScaleCrop>false</ScaleCrop>
  <Company>CFDA</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2017-07-31T08:32:00Z</dcterms:created>
  <dcterms:modified xsi:type="dcterms:W3CDTF">2017-07-31T08:32:00Z</dcterms:modified>
</cp:coreProperties>
</file>